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 xml:space="preserve"> 南京旭辉句容福地东路A地块及B地块示范区桩基工程及A地块试桩工程劳务施工招标文件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 xml:space="preserve">本招标项目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南京旭辉句容福地东路A地块及B地块示范区桩基工程及A地块试桩工程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劳务施工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272"/>
      <w:bookmarkStart w:id="3" w:name="_Toc397928540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25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000米，具体以建设单位下发正式桩基施工图为准）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val="en-US" w:eastAsia="zh-CN"/>
        </w:rPr>
        <w:t>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val="en-US" w:eastAsia="zh-CN"/>
        </w:rPr>
        <w:t>句容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87526273"/>
      <w:bookmarkStart w:id="8" w:name="_Toc397928541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且有建筑业企业劳务资质的劳务公司。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97928542"/>
      <w:bookmarkStart w:id="13" w:name="_Toc387526275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87526370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13051"/>
      <w:bookmarkStart w:id="23" w:name="_Toc387526279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97928546"/>
      <w:bookmarkStart w:id="28" w:name="_Toc387526280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2955"/>
        <w:gridCol w:w="1423"/>
        <w:gridCol w:w="1368"/>
        <w:gridCol w:w="2285"/>
        <w:gridCol w:w="2065"/>
        <w:gridCol w:w="295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劳务施工报价单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工程名称：南京旭辉句容福地东路A地块及B地块示范区桩基工程及A地块试桩工程</w:t>
            </w:r>
            <w:bookmarkStart w:id="31" w:name="_GoBack"/>
            <w:bookmarkEnd w:id="31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暂定量（m）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PHC-400（100）-AB－C80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PHC-500（125）-AB－C80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预制钢筋混凝土方桩（AZH-35-D）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量方式：若送桩＜3米，则按有效桩长累计计量；若送桩≥3米，则按孔深-3米计量结算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1、付款方式：施工结束后付至结算价的70%，桩基验收合格后6个月内付清。付款前乙方需向甲方开具合规的增值税专用发票。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工作内容：预制桩的施工全过程，桩位的放样、材料场内二次运输、吊装定位、安卸桩帽及桩尖、校正、移桩机、送桩、接桩、打桩、引孔（配合）、施工人员及设备进退场、安全文明施工费用及其他相关措施费、施工原始资料整理等施工工序至交付合格工程的所有内容。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3、保险：若由甲方购买保险，费用由乙方承担；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4、本报价表需盖章扫描回复至邮箱jscjzbzy@163.com,回复截至时间为2019年10月15日12:00,联系人:杨燕，联系电话:025-68752138；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日期：2019年10月  日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104565D7"/>
    <w:rsid w:val="11846E99"/>
    <w:rsid w:val="24AA5838"/>
    <w:rsid w:val="274E3E4F"/>
    <w:rsid w:val="293466A7"/>
    <w:rsid w:val="2AAE6578"/>
    <w:rsid w:val="2D222269"/>
    <w:rsid w:val="2D74610E"/>
    <w:rsid w:val="32F940F3"/>
    <w:rsid w:val="387651D2"/>
    <w:rsid w:val="3BAC6F3F"/>
    <w:rsid w:val="46095D3E"/>
    <w:rsid w:val="471B18E9"/>
    <w:rsid w:val="4A053873"/>
    <w:rsid w:val="4E2E1B8D"/>
    <w:rsid w:val="52627BBF"/>
    <w:rsid w:val="5F1100AA"/>
    <w:rsid w:val="63DE3810"/>
    <w:rsid w:val="686E7AAE"/>
    <w:rsid w:val="700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2019-10-11T02:50:51Z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