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0"/>
          <w:szCs w:val="42"/>
        </w:rPr>
        <w:t>天府恒大文化旅游城2号地块余下批次游乐单体旋挖钻孔灌注桩工程</w:t>
      </w:r>
      <w:r>
        <w:rPr>
          <w:rFonts w:hint="eastAsia" w:ascii="微软雅黑" w:hAnsi="微软雅黑" w:eastAsia="微软雅黑" w:cs="宋体"/>
          <w:color w:val="000000"/>
          <w:kern w:val="36"/>
          <w:sz w:val="42"/>
          <w:szCs w:val="42"/>
        </w:rPr>
        <w:t>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center"/>
        <w:rPr>
          <w:rFonts w:ascii="宋体" w:hAnsi="宋体" w:eastAsia="宋体" w:cs="宋体"/>
          <w:color w:val="333333"/>
          <w:kern w:val="0"/>
          <w:sz w:val="26"/>
          <w:szCs w:val="26"/>
        </w:rPr>
      </w:pPr>
      <w:r>
        <w:rPr>
          <w:rFonts w:hint="eastAsia"/>
        </w:rPr>
        <w:t>本招标项目</w:t>
      </w:r>
      <w:r>
        <w:rPr>
          <w:rFonts w:hint="eastAsia"/>
          <w:u w:val="single"/>
        </w:rPr>
        <w:t>天府恒大文化旅游城2号地块余下批次游乐单体旋挖钻孔灌注桩工程</w:t>
      </w:r>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397928540"/>
      <w:bookmarkStart w:id="2" w:name="_Toc12939"/>
      <w:bookmarkStart w:id="3" w:name="_Toc387526364"/>
      <w:bookmarkStart w:id="4" w:name="_Toc387526272"/>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灌注桩成孔约140000米，钢筋笼制安约3600吨，</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eastAsia" w:ascii="Times New Roman" w:hAnsi="Times New Roman" w:eastAsia="宋体" w:cs="宋体"/>
          <w:color w:val="000000"/>
          <w:kern w:val="0"/>
          <w:sz w:val="22"/>
          <w:szCs w:val="21"/>
          <w:u w:val="single"/>
          <w:lang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四川眉山</w:t>
      </w:r>
      <w:r>
        <w:rPr>
          <w:rFonts w:hint="eastAsia" w:ascii="Times New Roman" w:hAnsi="Times New Roman" w:eastAsia="宋体" w:cs="宋体"/>
          <w:color w:val="000000"/>
          <w:kern w:val="0"/>
          <w:sz w:val="22"/>
          <w:szCs w:val="21"/>
          <w:u w:val="single"/>
          <w:lang w:eastAsia="zh-CN"/>
        </w:rPr>
        <w:t>。</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387526273"/>
      <w:bookmarkStart w:id="7" w:name="_Toc20597"/>
      <w:bookmarkStart w:id="8" w:name="_Toc387526365"/>
      <w:bookmarkStart w:id="9" w:name="_Toc397928541"/>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97928542"/>
      <w:bookmarkStart w:id="12" w:name="_Toc387526171"/>
      <w:bookmarkStart w:id="13" w:name="_Toc387526275"/>
      <w:bookmarkStart w:id="14" w:name="_Toc23719"/>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0068"/>
      <w:bookmarkStart w:id="17" w:name="_Toc387526278"/>
      <w:bookmarkStart w:id="18" w:name="_Toc397928544"/>
      <w:bookmarkStart w:id="19" w:name="_Toc387526370"/>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2019</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10</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12</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97928545"/>
      <w:bookmarkStart w:id="22" w:name="_Toc387526371"/>
      <w:bookmarkStart w:id="23" w:name="_Toc13051"/>
      <w:bookmarkStart w:id="24" w:name="_Toc387526279"/>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372"/>
      <w:bookmarkStart w:id="27" w:name="_Toc387526280"/>
      <w:bookmarkStart w:id="28" w:name="_Toc397928546"/>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Style w:val="4"/>
        <w:tblW w:w="9728" w:type="dxa"/>
        <w:tblInd w:w="0" w:type="dxa"/>
        <w:shd w:val="clear" w:color="auto" w:fill="auto"/>
        <w:tblLayout w:type="fixed"/>
        <w:tblCellMar>
          <w:top w:w="0" w:type="dxa"/>
          <w:left w:w="0" w:type="dxa"/>
          <w:bottom w:w="0" w:type="dxa"/>
          <w:right w:w="0" w:type="dxa"/>
        </w:tblCellMar>
      </w:tblPr>
      <w:tblGrid>
        <w:gridCol w:w="860"/>
        <w:gridCol w:w="1683"/>
        <w:gridCol w:w="1"/>
        <w:gridCol w:w="1226"/>
        <w:gridCol w:w="1297"/>
        <w:gridCol w:w="1"/>
        <w:gridCol w:w="982"/>
        <w:gridCol w:w="1"/>
        <w:gridCol w:w="1800"/>
        <w:gridCol w:w="1877"/>
      </w:tblGrid>
      <w:tr>
        <w:tblPrEx>
          <w:shd w:val="clear" w:color="auto" w:fill="auto"/>
          <w:tblLayout w:type="fixed"/>
          <w:tblCellMar>
            <w:top w:w="0" w:type="dxa"/>
            <w:left w:w="0" w:type="dxa"/>
            <w:bottom w:w="0" w:type="dxa"/>
            <w:right w:w="0" w:type="dxa"/>
          </w:tblCellMar>
        </w:tblPrEx>
        <w:trPr>
          <w:trHeight w:val="960" w:hRule="atLeast"/>
        </w:trPr>
        <w:tc>
          <w:tcPr>
            <w:tcW w:w="9728"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天府恒大文化旅游城2号地块余下批次游乐单体旋挖钻孔灌注桩工程劳务报价单</w:t>
            </w:r>
          </w:p>
        </w:tc>
      </w:tr>
      <w:tr>
        <w:tblPrEx>
          <w:shd w:val="clear" w:color="auto" w:fill="auto"/>
          <w:tblLayout w:type="fixed"/>
          <w:tblCellMar>
            <w:top w:w="0" w:type="dxa"/>
            <w:left w:w="0" w:type="dxa"/>
            <w:bottom w:w="0" w:type="dxa"/>
            <w:right w:w="0" w:type="dxa"/>
          </w:tblCellMar>
        </w:tblPrEx>
        <w:trPr>
          <w:trHeight w:val="13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暂定工作量</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施工单价</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91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灌注桩成孔</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元/m</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8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钢筋笼制安</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8868" w:type="dxa"/>
            <w:gridSpan w:val="9"/>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工作内容：成孔设备及施工劳务人员及生活必备器具的进退场、施工人员食宿、安装及拆除护筒、成孔、灌注、下放钢筋笼、运笼、井口搭接、钢筋笼制安、配合施工质量验收、施工区域及工地大门进出口保洁、自配二级电箱，成孔原始班报的整理及泥浆的排放等施工工序至交付合格单桩（不包括泥浆外运）、等工作及隐含的工作内容。                                                                                                 2、单价包含：完成上述工作内容的所需的人工费、辅材费（包含加工棚、覆盖物等）、机械费、进退场费、井口搭接费、税金、劳动保护费用等及完成上述承包范围中所隐含的全部工作事项的费用，不含水电费。                                                                             3、工程量计算：有效桩长×设计桩径的截面积累计计算；制安钢筋笼以图示尺寸理论重量累计计算。                                                                         4、工程款支付：本工程桩基施工结束，机械撤出现场后付至完成工程量总价款的70%，并将生活费扣回；剩余的 30 %待桩基验收合格后，六个月内付清。                            5、充盈系数：乙方灌注充盈系数不超过1.10</w:t>
            </w:r>
            <w:bookmarkStart w:id="31" w:name="_GoBack"/>
            <w:bookmarkEnd w:id="31"/>
            <w:r>
              <w:rPr>
                <w:rFonts w:hint="eastAsia" w:ascii="宋体" w:hAnsi="宋体" w:eastAsia="宋体" w:cs="宋体"/>
                <w:i w:val="0"/>
                <w:color w:val="000000"/>
                <w:kern w:val="0"/>
                <w:sz w:val="24"/>
                <w:szCs w:val="24"/>
                <w:u w:val="none"/>
                <w:lang w:val="en-US" w:eastAsia="zh-CN" w:bidi="ar"/>
              </w:rPr>
              <w:t xml:space="preserve">，超灌高度不超过设计桩顶标高一倍。        6、保险：甲方代买保险，费用由乙方承担；若乙方自行购买保险，相关资料交甲方备案。                                                                                                                7、本报价单请于2019年10月12日12:00前盖章扫描发送至jscjzbzy@163.com。联系人：杨燕，联系电话：025-68752136。                                                                        8、后附《中国煤炭地质总局供应商入库申请表》 ，请填写后连同申请表所需相关资料扫描后一并发送。                                                            </w:t>
            </w:r>
          </w:p>
        </w:tc>
      </w:tr>
      <w:tr>
        <w:tblPrEx>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4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35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5" w:hRule="atLeast"/>
        </w:trPr>
        <w:tc>
          <w:tcPr>
            <w:tcW w:w="8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4"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26"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98"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82"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01"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7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1"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8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8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983"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日期：2019年10月  日</w:t>
            </w:r>
          </w:p>
        </w:tc>
        <w:tc>
          <w:tcPr>
            <w:tcW w:w="180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C9D1AB2"/>
    <w:rsid w:val="0F6D5E60"/>
    <w:rsid w:val="0FA54DA0"/>
    <w:rsid w:val="0FCA4641"/>
    <w:rsid w:val="11846E99"/>
    <w:rsid w:val="14385E7A"/>
    <w:rsid w:val="17183CAC"/>
    <w:rsid w:val="17ED5F07"/>
    <w:rsid w:val="184F4C07"/>
    <w:rsid w:val="1AE42AED"/>
    <w:rsid w:val="1F9C342A"/>
    <w:rsid w:val="274E3E4F"/>
    <w:rsid w:val="2D222269"/>
    <w:rsid w:val="30AF2ED7"/>
    <w:rsid w:val="31140E7D"/>
    <w:rsid w:val="314D0FA0"/>
    <w:rsid w:val="32DF5047"/>
    <w:rsid w:val="3EED4AAC"/>
    <w:rsid w:val="4066113F"/>
    <w:rsid w:val="44375169"/>
    <w:rsid w:val="452E32F7"/>
    <w:rsid w:val="45865353"/>
    <w:rsid w:val="46773009"/>
    <w:rsid w:val="4AE20422"/>
    <w:rsid w:val="4D6E7BDF"/>
    <w:rsid w:val="4D7E20D1"/>
    <w:rsid w:val="4E98288D"/>
    <w:rsid w:val="502C61E4"/>
    <w:rsid w:val="520337FC"/>
    <w:rsid w:val="52627BBF"/>
    <w:rsid w:val="529E218E"/>
    <w:rsid w:val="52F75A8B"/>
    <w:rsid w:val="57E43EAC"/>
    <w:rsid w:val="5BBF1BB6"/>
    <w:rsid w:val="5DDB6FE4"/>
    <w:rsid w:val="5F1100AA"/>
    <w:rsid w:val="622A0FC9"/>
    <w:rsid w:val="65C2782F"/>
    <w:rsid w:val="686E7AAE"/>
    <w:rsid w:val="6A0F47B1"/>
    <w:rsid w:val="6D711074"/>
    <w:rsid w:val="6F6747BB"/>
    <w:rsid w:val="739229C6"/>
    <w:rsid w:val="7A422FC5"/>
    <w:rsid w:val="7AC51F6E"/>
    <w:rsid w:val="7B02240F"/>
    <w:rsid w:val="7D5C3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9</TotalTime>
  <ScaleCrop>false</ScaleCrop>
  <LinksUpToDate>false</LinksUpToDate>
  <CharactersWithSpaces>853</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2019-10-10T01:22:26Z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