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南京旭辉句容福地东路F地块桩基工程及试桩工程预制桩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南京旭辉句容福地东路F地块桩基工程及试桩工程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97928540"/>
      <w:bookmarkStart w:id="3" w:name="_Toc387526364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21000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镇江句容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87526365"/>
      <w:bookmarkStart w:id="8" w:name="_Toc387526273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275"/>
      <w:bookmarkStart w:id="13" w:name="_Toc387526171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278"/>
      <w:bookmarkStart w:id="17" w:name="_Toc387526370"/>
      <w:bookmarkStart w:id="18" w:name="_Toc3006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372"/>
      <w:bookmarkStart w:id="28" w:name="_Toc387526280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025-68752136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3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854"/>
        <w:gridCol w:w="1564"/>
        <w:gridCol w:w="1396"/>
        <w:gridCol w:w="2210"/>
        <w:gridCol w:w="2505"/>
        <w:gridCol w:w="1934"/>
        <w:gridCol w:w="19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报价单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工程名称：南京旭辉句容福地东路F地块桩基工程及试桩工程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暂定供货量（m）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（元/m），税率13%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PHC-500（125）-AB－C80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桩长9-15m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省标图集（苏G03-2012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桩长小于9米为短桩，加价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元/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米（含税价）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预制钢筋混凝土方桩（AZH-35-D）混凝土强度C30，①②号筋均为4根直径16三级钢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桩长11.6m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选用图集：《预制钢筋混凝土方桩》苏G/T25-2013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桩长小于9米为短桩，加价          元/米（含税价）桩尖部分不计入结算工程量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437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5、本报价表需盖章扫描回复至邮箱jscjzbzy@163.com,回复截至时间为2019年12月10日12:00,联系人:杨燕，联系电话:025-68752138；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联系电话;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期：2019年12月  日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31" w:name="_GoBack"/>
      <w:bookmarkEnd w:id="3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11846E99"/>
    <w:rsid w:val="1AFD19F0"/>
    <w:rsid w:val="274E3E4F"/>
    <w:rsid w:val="2D222269"/>
    <w:rsid w:val="31255BE1"/>
    <w:rsid w:val="32EA1B04"/>
    <w:rsid w:val="3E8A7064"/>
    <w:rsid w:val="40CA26B0"/>
    <w:rsid w:val="4A79516D"/>
    <w:rsid w:val="51F76B92"/>
    <w:rsid w:val="52627BBF"/>
    <w:rsid w:val="537C272D"/>
    <w:rsid w:val="5F1100AA"/>
    <w:rsid w:val="686E7AAE"/>
    <w:rsid w:val="6A7238E9"/>
    <w:rsid w:val="6C8B47D5"/>
    <w:rsid w:val="70452961"/>
    <w:rsid w:val="77A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11</TotalTime>
  <ScaleCrop>false</ScaleCrop>
  <LinksUpToDate>false</LinksUpToDate>
  <CharactersWithSpaces>793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2019-12-07T09:32:43Z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