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南京养生谷项目二号地块2-A地块（医院）/A6地块基坑支护工程招标文件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  <w:bookmarkStart w:id="31" w:name="_GoBack"/>
      <w:bookmarkEnd w:id="31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南京养生谷项目二号地块2-A地块（医院）/A6地块基坑支护工程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挂网喷浆、排水沟、注浆、锚杆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87526272"/>
      <w:bookmarkStart w:id="3" w:name="_Toc397928540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工程施工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南京六合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按甲方进度要求分批次。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273"/>
      <w:bookmarkStart w:id="7" w:name="_Toc397928541"/>
      <w:bookmarkStart w:id="8" w:name="_Toc387526365"/>
      <w:bookmarkStart w:id="9" w:name="_Toc20597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23719"/>
      <w:bookmarkStart w:id="13" w:name="_Toc387526275"/>
      <w:bookmarkStart w:id="14" w:name="_Toc387526171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87526278"/>
      <w:bookmarkStart w:id="18" w:name="_Toc30068"/>
      <w:bookmarkStart w:id="19" w:name="_Toc397928544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387526371"/>
      <w:bookmarkStart w:id="23" w:name="_Toc397928545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97928546"/>
      <w:bookmarkStart w:id="27" w:name="_Toc387526280"/>
      <w:bookmarkStart w:id="28" w:name="_Toc11155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025-68752136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2"/>
        </w:rPr>
        <w:br w:type="page"/>
      </w:r>
    </w:p>
    <w:tbl>
      <w:tblPr>
        <w:tblW w:w="151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3300"/>
        <w:gridCol w:w="469"/>
        <w:gridCol w:w="685"/>
        <w:gridCol w:w="1027"/>
        <w:gridCol w:w="1012"/>
        <w:gridCol w:w="1011"/>
        <w:gridCol w:w="1059"/>
        <w:gridCol w:w="1121"/>
        <w:gridCol w:w="50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南京养生谷项目二号地块2-A地块（医院）/A6地块基坑支护工程施工工程报价单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包干单价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(元)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其中（元）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合价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计算规则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主材费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其他费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二号地块2-A地块（医院）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挂网喷浆80mm，内配双向φ6@200×200钢筋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80厚C20网喷面层,内配双向φ6@200×200钢筋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坡顶截水沟（m)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按图纸施工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坡底排水沟（m)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按图纸施工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坡顶截水井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按图纸施工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A6地块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坡面挂网喷浆：100厚C20网喷面层；内配双向φ10@150×150钢筋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坡面挂网喷浆：100厚C20网喷面层；内配双向φ10@150×150钢筋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0"/>
                <w:rFonts w:hAnsi="宋体"/>
                <w:bdr w:val="none" w:color="auto" w:sz="0" w:space="0"/>
                <w:lang w:val="en-US" w:eastAsia="zh-CN" w:bidi="ar"/>
              </w:rPr>
              <w:t>100厚C20网喷面层,钢筋网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∅</w:t>
            </w:r>
            <w:r>
              <w:rPr>
                <w:rStyle w:val="20"/>
                <w:rFonts w:hAnsi="宋体"/>
                <w:bdr w:val="none" w:color="auto" w:sz="0" w:space="0"/>
                <w:lang w:val="en-US" w:eastAsia="zh-CN" w:bidi="ar"/>
              </w:rPr>
              <w:t>6.5×100×100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334.29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100厚C20网喷面层,钢筋网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∅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6.5×100×100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花管双液注浆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1256.47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钢管45*2.5，注浆深度地下6m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压密注浆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按图纸施工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坡脚排水沟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按图纸施工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锚杆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18钢筋 L=6000＠1500  孔径110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树根桩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512.00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Φ300@500树根桩；内插Φ273x6.5钢管，L=8.0m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桩顶冠梁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(C30)砼，500*500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冠梁钢筋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按图纸施工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甲供材暂定项目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上述单价已包含材料费用，该甲供材最终根据实际用量从上述单价及结算中按实扣除。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工作内容：包工、包料、包机械（包括机械进退场及安拆）、包雨季及异常气候施工措施费及其它措施费、包安全文明施工、包承包范围中所隐含的全部工作事项和各种原因导致风险费、包质量、包工期，包发包人与甲方的“总包合同”及“招标文件”所有内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2、由于本项目是增值税模式，乙方须承担乙方产值部分的9%的税金，乙方提供的劳务、材料及租赁票抵扣不足部分，税金需由乙方补交，甲方有权从乙方工程款中直接扣除。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付款：发包人的款项到达甲方账户后，甲方扣除乙方委托甲方的代付款，按项目发包人支付给甲方的实际付款比例，同步同比例向乙方支付工程款，甲方支付乙方本次付款及乙方委托甲方代付款的同时，乙方必须负责提供等额的合规成本票据，成本票据抬头为甲方公司全称，成本票据的种类为劳务发票，或者为材料发票（不包括招待费、通讯费及固定资产等票据）。发包人未支付工程款时，乙方不得以任何借口向甲方索要工程款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4、工程量计量以甲方与建设单位最终结算确认的工程量为准，项目施工期间存在的建设单位罚款及扣款由乙方承担。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报价人：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日期：2019年12月</w:t>
            </w:r>
          </w:p>
        </w:tc>
      </w:tr>
    </w:tbl>
    <w:p>
      <w:pPr>
        <w:tabs>
          <w:tab w:val="left" w:pos="823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4B22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280E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E5F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061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0C1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2F68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6A02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1B84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6DE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4566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39C3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57D1C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923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0D2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219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77B3476"/>
    <w:rsid w:val="11846E99"/>
    <w:rsid w:val="12D63E13"/>
    <w:rsid w:val="1D62590E"/>
    <w:rsid w:val="1FC316AF"/>
    <w:rsid w:val="20DD7FE9"/>
    <w:rsid w:val="274E3E4F"/>
    <w:rsid w:val="2D222269"/>
    <w:rsid w:val="2F0143C4"/>
    <w:rsid w:val="33313CCC"/>
    <w:rsid w:val="379D4BBB"/>
    <w:rsid w:val="39AC3B1D"/>
    <w:rsid w:val="3C014118"/>
    <w:rsid w:val="3E335568"/>
    <w:rsid w:val="428B4CB2"/>
    <w:rsid w:val="44DE2513"/>
    <w:rsid w:val="4CEB04B4"/>
    <w:rsid w:val="52627BBF"/>
    <w:rsid w:val="554712D8"/>
    <w:rsid w:val="56261F6F"/>
    <w:rsid w:val="56BA324C"/>
    <w:rsid w:val="582C58D3"/>
    <w:rsid w:val="5A820419"/>
    <w:rsid w:val="5F1100AA"/>
    <w:rsid w:val="63E374DA"/>
    <w:rsid w:val="66A030A7"/>
    <w:rsid w:val="68425718"/>
    <w:rsid w:val="686E7AAE"/>
    <w:rsid w:val="6A5A5469"/>
    <w:rsid w:val="6A893AA0"/>
    <w:rsid w:val="729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14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12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9">
    <w:name w:val="font122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20">
    <w:name w:val="font91"/>
    <w:basedOn w:val="5"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2019-12-30T02:08:21Z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