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0756" w14:textId="09D8BC3F" w:rsidR="00F4316E" w:rsidRPr="007564B8" w:rsidRDefault="0092564B" w:rsidP="00BD45B1">
      <w:pPr>
        <w:pStyle w:val="a3"/>
        <w:spacing w:before="0" w:beforeAutospacing="0" w:after="0" w:afterAutospacing="0" w:line="360" w:lineRule="atLeast"/>
        <w:jc w:val="center"/>
        <w:textAlignment w:val="baseline"/>
        <w:rPr>
          <w:rFonts w:ascii="微软雅黑" w:eastAsia="微软雅黑" w:hAnsi="微软雅黑"/>
          <w:color w:val="666666"/>
          <w:sz w:val="28"/>
          <w:szCs w:val="28"/>
        </w:rPr>
      </w:pPr>
      <w:r w:rsidRPr="007564B8">
        <w:rPr>
          <w:rFonts w:ascii="微软雅黑" w:eastAsia="微软雅黑" w:hAnsi="微软雅黑" w:hint="eastAsia"/>
          <w:color w:val="666666"/>
          <w:sz w:val="28"/>
          <w:szCs w:val="28"/>
        </w:rPr>
        <w:t>徐州龙兴泰能源科技有限公司年产260万吨焦化联产30万吨甲醇、10万吨合成氨技改项目（</w:t>
      </w:r>
      <w:proofErr w:type="gramStart"/>
      <w:r w:rsidRPr="007564B8">
        <w:rPr>
          <w:rFonts w:ascii="微软雅黑" w:eastAsia="微软雅黑" w:hAnsi="微软雅黑" w:hint="eastAsia"/>
          <w:color w:val="666666"/>
          <w:sz w:val="28"/>
          <w:szCs w:val="28"/>
        </w:rPr>
        <w:t>沂州科技</w:t>
      </w:r>
      <w:proofErr w:type="gramEnd"/>
      <w:r w:rsidRPr="007564B8">
        <w:rPr>
          <w:rFonts w:ascii="微软雅黑" w:eastAsia="微软雅黑" w:hAnsi="微软雅黑" w:hint="eastAsia"/>
          <w:color w:val="666666"/>
          <w:sz w:val="28"/>
          <w:szCs w:val="28"/>
        </w:rPr>
        <w:t>三期项目）3#、4#焦炉桩基工程</w:t>
      </w:r>
    </w:p>
    <w:p w14:paraId="04D930DB" w14:textId="77777777" w:rsidR="00E218F2" w:rsidRPr="00FF1647" w:rsidRDefault="00F4316E" w:rsidP="00BD45B1">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水泥</w:t>
      </w:r>
      <w:r w:rsidR="00E218F2" w:rsidRPr="00FF1647">
        <w:rPr>
          <w:rFonts w:ascii="微软雅黑" w:eastAsia="微软雅黑" w:hAnsi="微软雅黑" w:hint="eastAsia"/>
          <w:color w:val="666666"/>
          <w:sz w:val="44"/>
          <w:szCs w:val="44"/>
        </w:rPr>
        <w:t>采购招标文件</w:t>
      </w:r>
    </w:p>
    <w:p w14:paraId="1B340765" w14:textId="77777777"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14:paraId="360C6C42" w14:textId="27FF4244" w:rsidR="00E218F2" w:rsidRDefault="0092564B" w:rsidP="00BD45B1">
      <w:pPr>
        <w:pStyle w:val="a3"/>
        <w:spacing w:line="420" w:lineRule="atLeast"/>
        <w:ind w:firstLine="480"/>
        <w:rPr>
          <w:rFonts w:ascii="微软雅黑" w:eastAsia="微软雅黑" w:hAnsi="微软雅黑"/>
          <w:color w:val="666666"/>
        </w:rPr>
      </w:pPr>
      <w:r w:rsidRPr="0092564B">
        <w:rPr>
          <w:rFonts w:ascii="微软雅黑" w:eastAsia="微软雅黑" w:hAnsi="微软雅黑" w:hint="eastAsia"/>
          <w:b/>
          <w:color w:val="333333"/>
        </w:rPr>
        <w:t>徐州龙兴泰能源科技有限公司年产260万吨焦化联产30万吨甲醇、10万吨合成氨技改项目（</w:t>
      </w:r>
      <w:proofErr w:type="gramStart"/>
      <w:r w:rsidRPr="0092564B">
        <w:rPr>
          <w:rFonts w:ascii="微软雅黑" w:eastAsia="微软雅黑" w:hAnsi="微软雅黑" w:hint="eastAsia"/>
          <w:b/>
          <w:color w:val="333333"/>
        </w:rPr>
        <w:t>沂州科技</w:t>
      </w:r>
      <w:proofErr w:type="gramEnd"/>
      <w:r w:rsidRPr="0092564B">
        <w:rPr>
          <w:rFonts w:ascii="微软雅黑" w:eastAsia="微软雅黑" w:hAnsi="微软雅黑" w:hint="eastAsia"/>
          <w:b/>
          <w:color w:val="333333"/>
        </w:rPr>
        <w:t>三期项目）3#、4#焦炉桩基工程</w:t>
      </w:r>
      <w:r w:rsidR="007564B8">
        <w:rPr>
          <w:rFonts w:ascii="微软雅黑" w:eastAsia="微软雅黑" w:hAnsi="微软雅黑" w:hint="eastAsia"/>
          <w:b/>
          <w:color w:val="333333"/>
        </w:rPr>
        <w:t>、</w:t>
      </w:r>
      <w:r w:rsidR="007564B8" w:rsidRPr="0092564B">
        <w:rPr>
          <w:rFonts w:ascii="微软雅黑" w:eastAsia="微软雅黑" w:hAnsi="微软雅黑" w:hint="eastAsia"/>
          <w:b/>
          <w:color w:val="333333"/>
        </w:rPr>
        <w:t>徐州龙兴泰能源科技有限公司</w:t>
      </w:r>
      <w:r w:rsidR="007564B8">
        <w:rPr>
          <w:rFonts w:ascii="微软雅黑" w:eastAsia="微软雅黑" w:hAnsi="微软雅黑" w:hint="eastAsia"/>
          <w:b/>
          <w:color w:val="333333"/>
        </w:rPr>
        <w:t>中心化验楼、全厂集中控制中心桩基工程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sidRPr="0092564B">
        <w:rPr>
          <w:rFonts w:ascii="微软雅黑" w:eastAsia="微软雅黑" w:hAnsi="微软雅黑" w:hint="eastAsia"/>
          <w:b/>
          <w:color w:val="333333"/>
        </w:rPr>
        <w:t>徐州龙兴泰能源科技有限公司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F4316E">
        <w:rPr>
          <w:rFonts w:ascii="微软雅黑" w:eastAsia="微软雅黑" w:hAnsi="微软雅黑" w:hint="eastAsia"/>
          <w:b/>
          <w:color w:val="000000"/>
        </w:rPr>
        <w:t>水泥</w:t>
      </w:r>
      <w:r w:rsidR="00C84369" w:rsidRPr="00C84369">
        <w:rPr>
          <w:rFonts w:ascii="微软雅黑" w:eastAsia="微软雅黑" w:hAnsi="微软雅黑" w:hint="eastAsia"/>
          <w:b/>
          <w:color w:val="000000"/>
        </w:rPr>
        <w:t>采购</w:t>
      </w:r>
      <w:r w:rsidR="00E218F2">
        <w:rPr>
          <w:rFonts w:ascii="微软雅黑" w:eastAsia="微软雅黑" w:hAnsi="微软雅黑" w:hint="eastAsia"/>
          <w:color w:val="333333"/>
        </w:rPr>
        <w:t>进行公开招标。</w:t>
      </w:r>
    </w:p>
    <w:p w14:paraId="15A1ED28" w14:textId="77777777"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14:paraId="0013CE75" w14:textId="00088E78"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F4316E">
        <w:rPr>
          <w:rFonts w:ascii="微软雅黑" w:eastAsia="微软雅黑" w:hAnsi="微软雅黑" w:hint="eastAsia"/>
          <w:b/>
          <w:color w:val="000000"/>
        </w:rPr>
        <w:t>普通硅酸盐水泥42.5，约</w:t>
      </w:r>
      <w:r w:rsidR="006B1FB2">
        <w:rPr>
          <w:rFonts w:ascii="微软雅黑" w:eastAsia="微软雅黑" w:hAnsi="微软雅黑" w:hint="eastAsia"/>
          <w:b/>
          <w:color w:val="000000"/>
        </w:rPr>
        <w:t>1</w:t>
      </w:r>
      <w:r w:rsidR="00722DC4">
        <w:rPr>
          <w:rFonts w:ascii="微软雅黑" w:eastAsia="微软雅黑" w:hAnsi="微软雅黑"/>
          <w:b/>
          <w:color w:val="000000"/>
        </w:rPr>
        <w:t>2</w:t>
      </w:r>
      <w:r w:rsidR="006B1FB2">
        <w:rPr>
          <w:rFonts w:ascii="微软雅黑" w:eastAsia="微软雅黑" w:hAnsi="微软雅黑" w:hint="eastAsia"/>
          <w:b/>
          <w:color w:val="000000"/>
        </w:rPr>
        <w:t>000</w:t>
      </w:r>
      <w:r w:rsidR="00F4316E">
        <w:rPr>
          <w:rFonts w:ascii="微软雅黑" w:eastAsia="微软雅黑" w:hAnsi="微软雅黑" w:hint="eastAsia"/>
          <w:b/>
          <w:color w:val="000000"/>
        </w:rPr>
        <w:t>吨</w:t>
      </w:r>
      <w:r w:rsidR="004B3B38">
        <w:rPr>
          <w:rFonts w:ascii="微软雅黑" w:eastAsia="微软雅黑" w:hAnsi="微软雅黑" w:hint="eastAsia"/>
          <w:b/>
          <w:color w:val="000000"/>
        </w:rPr>
        <w:t>。</w:t>
      </w:r>
    </w:p>
    <w:p w14:paraId="12E41774" w14:textId="1825DAC3"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92564B">
        <w:rPr>
          <w:rFonts w:ascii="微软雅黑" w:eastAsia="微软雅黑" w:hAnsi="微软雅黑" w:hint="eastAsia"/>
          <w:b/>
          <w:color w:val="000000"/>
        </w:rPr>
        <w:t>江苏省邳州市戴圩街道</w:t>
      </w:r>
    </w:p>
    <w:p w14:paraId="5364726A" w14:textId="77777777"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F4316E">
        <w:rPr>
          <w:rFonts w:ascii="微软雅黑" w:eastAsia="微软雅黑" w:hAnsi="微软雅黑" w:hint="eastAsia"/>
          <w:b/>
          <w:color w:val="000000"/>
        </w:rPr>
        <w:t>90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14:paraId="4F86399F" w14:textId="77777777"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14:paraId="6B5D6CB7" w14:textId="77777777"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14:paraId="7A208E28" w14:textId="77777777"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14:paraId="4DFA811A" w14:textId="77777777"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14:paraId="1E37A3EE" w14:textId="77777777"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14:paraId="5798A100" w14:textId="77777777"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106C4E">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14:paraId="1565580A" w14:textId="77777777"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4. 评标办法</w:t>
      </w:r>
    </w:p>
    <w:p w14:paraId="6BEF45B5" w14:textId="77777777"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14:paraId="555214EF" w14:textId="77777777"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14:paraId="48F9E91E" w14:textId="6A774343"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7973A9">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92564B">
        <w:rPr>
          <w:rFonts w:ascii="微软雅黑" w:eastAsia="微软雅黑" w:hAnsi="微软雅黑"/>
          <w:b/>
          <w:color w:val="000000"/>
          <w:u w:val="single"/>
        </w:rPr>
        <w:t>4</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92564B">
        <w:rPr>
          <w:rFonts w:ascii="微软雅黑" w:eastAsia="微软雅黑" w:hAnsi="微软雅黑"/>
          <w:b/>
          <w:color w:val="000000"/>
          <w:u w:val="single"/>
        </w:rPr>
        <w:t>1</w:t>
      </w:r>
      <w:r w:rsidR="007407B9">
        <w:rPr>
          <w:rFonts w:ascii="微软雅黑" w:eastAsia="微软雅黑" w:hAnsi="微软雅黑" w:hint="eastAsia"/>
          <w:b/>
          <w:color w:val="000000"/>
          <w:u w:val="single"/>
        </w:rPr>
        <w:t>6</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F50C4B">
        <w:rPr>
          <w:rFonts w:ascii="微软雅黑" w:eastAsia="微软雅黑" w:hAnsi="微软雅黑" w:hint="eastAsia"/>
          <w:b/>
          <w:color w:val="000000"/>
          <w:u w:val="single"/>
        </w:rPr>
        <w:t>7</w:t>
      </w:r>
      <w:bookmarkStart w:id="0" w:name="_GoBack"/>
      <w:bookmarkEnd w:id="0"/>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14:paraId="36710B00" w14:textId="77777777"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14:paraId="29BFD671" w14:textId="77777777"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14:paraId="3F9285EB" w14:textId="77777777"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14:paraId="73284C2E" w14:textId="77777777"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14:paraId="6BFF694F" w14:textId="77777777"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14:paraId="4077EB6B" w14:textId="77777777"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14:paraId="538F3B1E" w14:textId="77777777"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14:paraId="38DBC02C" w14:textId="77777777"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14:paraId="61681C64" w14:textId="51A547FA" w:rsidR="00E218F2" w:rsidRDefault="00DF0D4E"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7973A9">
        <w:rPr>
          <w:rFonts w:ascii="微软雅黑" w:eastAsia="微软雅黑" w:hAnsi="微软雅黑" w:hint="eastAsia"/>
          <w:color w:val="000000"/>
        </w:rPr>
        <w:t>二〇</w:t>
      </w:r>
      <w:r>
        <w:rPr>
          <w:rFonts w:ascii="微软雅黑" w:eastAsia="微软雅黑" w:hAnsi="微软雅黑" w:hint="eastAsia"/>
          <w:color w:val="000000"/>
        </w:rPr>
        <w:t>年</w:t>
      </w:r>
      <w:r w:rsidR="0092564B">
        <w:rPr>
          <w:rFonts w:ascii="微软雅黑" w:eastAsia="微软雅黑" w:hAnsi="微软雅黑" w:hint="eastAsia"/>
          <w:color w:val="000000"/>
        </w:rPr>
        <w:t>四</w:t>
      </w:r>
      <w:r>
        <w:rPr>
          <w:rFonts w:ascii="微软雅黑" w:eastAsia="微软雅黑" w:hAnsi="微软雅黑" w:hint="eastAsia"/>
          <w:color w:val="000000"/>
        </w:rPr>
        <w:t>月</w:t>
      </w:r>
      <w:r w:rsidR="00F4316E">
        <w:rPr>
          <w:rFonts w:ascii="微软雅黑" w:eastAsia="微软雅黑" w:hAnsi="微软雅黑" w:hint="eastAsia"/>
          <w:color w:val="000000"/>
        </w:rPr>
        <w:t>十</w:t>
      </w:r>
      <w:r w:rsidR="0092564B">
        <w:rPr>
          <w:rFonts w:ascii="微软雅黑" w:eastAsia="微软雅黑" w:hAnsi="微软雅黑" w:hint="eastAsia"/>
          <w:color w:val="000000"/>
        </w:rPr>
        <w:t>四</w:t>
      </w:r>
      <w:r>
        <w:rPr>
          <w:rFonts w:ascii="微软雅黑" w:eastAsia="微软雅黑" w:hAnsi="微软雅黑" w:hint="eastAsia"/>
          <w:color w:val="000000"/>
        </w:rPr>
        <w:t>日</w:t>
      </w:r>
    </w:p>
    <w:p w14:paraId="7216224F" w14:textId="77777777"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14:paraId="562F25D0" w14:textId="77777777"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14:paraId="69CA72CE" w14:textId="77777777"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14:paraId="16A3254D" w14:textId="77777777"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14:paraId="0BDAB3FF" w14:textId="77777777" w:rsidR="007973A9" w:rsidRDefault="007973A9" w:rsidP="00DF0D4E">
      <w:pPr>
        <w:pStyle w:val="a3"/>
        <w:spacing w:before="0" w:beforeAutospacing="0" w:after="0" w:afterAutospacing="0" w:line="360" w:lineRule="atLeast"/>
        <w:ind w:firstLine="480"/>
        <w:jc w:val="right"/>
        <w:rPr>
          <w:rFonts w:ascii="微软雅黑" w:eastAsia="微软雅黑" w:hAnsi="微软雅黑" w:hint="eastAsia"/>
          <w:color w:val="666666"/>
        </w:rPr>
      </w:pPr>
    </w:p>
    <w:p w14:paraId="5FE8BCBA" w14:textId="77777777" w:rsidR="00F50C4B" w:rsidRDefault="00F50C4B" w:rsidP="00DF0D4E">
      <w:pPr>
        <w:pStyle w:val="a3"/>
        <w:spacing w:before="0" w:beforeAutospacing="0" w:after="0" w:afterAutospacing="0" w:line="360" w:lineRule="atLeast"/>
        <w:ind w:firstLine="480"/>
        <w:jc w:val="right"/>
        <w:rPr>
          <w:rFonts w:ascii="微软雅黑" w:eastAsia="微软雅黑" w:hAnsi="微软雅黑" w:hint="eastAsia"/>
          <w:color w:val="666666"/>
        </w:rPr>
      </w:pPr>
    </w:p>
    <w:p w14:paraId="6DAB07DA" w14:textId="77777777" w:rsidR="00F50C4B" w:rsidRDefault="00F50C4B" w:rsidP="00F50C4B">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报价单</w:t>
      </w:r>
    </w:p>
    <w:p w14:paraId="55591CEC" w14:textId="630D0258" w:rsidR="00F50C4B" w:rsidRDefault="00F50C4B" w:rsidP="00F50C4B">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Pr="00F50C4B">
        <w:rPr>
          <w:rFonts w:ascii="微软雅黑" w:eastAsia="微软雅黑" w:hAnsi="微软雅黑" w:hint="eastAsia"/>
          <w:color w:val="000000"/>
        </w:rPr>
        <w:t>徐州龙兴泰能源科技有限公司</w:t>
      </w:r>
      <w:r>
        <w:rPr>
          <w:rFonts w:ascii="微软雅黑" w:eastAsia="微软雅黑" w:hAnsi="微软雅黑" w:hint="eastAsia"/>
          <w:color w:val="000000"/>
        </w:rPr>
        <w:t>桩基工程</w:t>
      </w:r>
    </w:p>
    <w:tbl>
      <w:tblPr>
        <w:tblStyle w:val="a8"/>
        <w:tblW w:w="0" w:type="auto"/>
        <w:tblCellMar>
          <w:left w:w="28" w:type="dxa"/>
          <w:right w:w="28" w:type="dxa"/>
        </w:tblCellMar>
        <w:tblLook w:val="04A0" w:firstRow="1" w:lastRow="0" w:firstColumn="1" w:lastColumn="0" w:noHBand="0" w:noVBand="1"/>
      </w:tblPr>
      <w:tblGrid>
        <w:gridCol w:w="710"/>
        <w:gridCol w:w="950"/>
        <w:gridCol w:w="2214"/>
        <w:gridCol w:w="951"/>
        <w:gridCol w:w="1253"/>
        <w:gridCol w:w="1152"/>
        <w:gridCol w:w="1132"/>
      </w:tblGrid>
      <w:tr w:rsidR="00F50C4B" w:rsidRPr="00960C25" w14:paraId="0276EE21" w14:textId="77777777" w:rsidTr="001117A3">
        <w:tc>
          <w:tcPr>
            <w:tcW w:w="710" w:type="dxa"/>
            <w:vAlign w:val="center"/>
          </w:tcPr>
          <w:p w14:paraId="56B764C5" w14:textId="77777777" w:rsidR="00F50C4B" w:rsidRPr="00960C25" w:rsidRDefault="00F50C4B" w:rsidP="001117A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0" w:type="dxa"/>
            <w:vAlign w:val="center"/>
          </w:tcPr>
          <w:p w14:paraId="54A1CE01" w14:textId="77777777" w:rsidR="00F50C4B" w:rsidRPr="00960C25" w:rsidRDefault="00F50C4B" w:rsidP="001117A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2214" w:type="dxa"/>
            <w:vAlign w:val="center"/>
          </w:tcPr>
          <w:p w14:paraId="5E68E08A" w14:textId="77777777" w:rsidR="00F50C4B" w:rsidRPr="00960C25" w:rsidRDefault="00F50C4B" w:rsidP="001117A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51" w:type="dxa"/>
            <w:vAlign w:val="center"/>
          </w:tcPr>
          <w:p w14:paraId="787B08B6" w14:textId="77777777" w:rsidR="00F50C4B" w:rsidRPr="00960C25" w:rsidRDefault="00F50C4B" w:rsidP="001117A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Pr>
                <w:rFonts w:hint="eastAsia"/>
                <w:color w:val="000000"/>
                <w:sz w:val="21"/>
                <w:szCs w:val="21"/>
              </w:rPr>
              <w:t>（吨）</w:t>
            </w:r>
          </w:p>
        </w:tc>
        <w:tc>
          <w:tcPr>
            <w:tcW w:w="1253" w:type="dxa"/>
            <w:vAlign w:val="center"/>
          </w:tcPr>
          <w:p w14:paraId="230A349E" w14:textId="77777777" w:rsidR="00F50C4B" w:rsidRPr="00960C25" w:rsidRDefault="00F50C4B" w:rsidP="001117A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52" w:type="dxa"/>
            <w:vAlign w:val="center"/>
          </w:tcPr>
          <w:p w14:paraId="599146AC" w14:textId="77777777" w:rsidR="00F50C4B" w:rsidRPr="00960C25" w:rsidRDefault="00F50C4B" w:rsidP="001117A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（元/吨）</w:t>
            </w:r>
          </w:p>
        </w:tc>
        <w:tc>
          <w:tcPr>
            <w:tcW w:w="1132" w:type="dxa"/>
            <w:vAlign w:val="center"/>
          </w:tcPr>
          <w:p w14:paraId="355113F2" w14:textId="77777777" w:rsidR="00F50C4B" w:rsidRPr="00960C25" w:rsidRDefault="00F50C4B" w:rsidP="001117A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F50C4B" w:rsidRPr="00960C25" w14:paraId="020BBF24" w14:textId="77777777" w:rsidTr="001117A3">
        <w:tc>
          <w:tcPr>
            <w:tcW w:w="710" w:type="dxa"/>
            <w:vAlign w:val="center"/>
          </w:tcPr>
          <w:p w14:paraId="279A18D8" w14:textId="77777777" w:rsidR="00F50C4B" w:rsidRPr="00960C25" w:rsidRDefault="00F50C4B" w:rsidP="001117A3">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14:paraId="5DB7DA6E" w14:textId="77777777" w:rsidR="00F50C4B" w:rsidRPr="007973A9" w:rsidRDefault="00F50C4B" w:rsidP="001117A3">
            <w:pPr>
              <w:pStyle w:val="a3"/>
              <w:spacing w:before="0" w:beforeAutospacing="0" w:after="0" w:afterAutospacing="0" w:line="360" w:lineRule="atLeast"/>
              <w:jc w:val="center"/>
              <w:rPr>
                <w:color w:val="000000"/>
                <w:sz w:val="21"/>
                <w:szCs w:val="21"/>
              </w:rPr>
            </w:pPr>
            <w:r>
              <w:rPr>
                <w:rFonts w:hint="eastAsia"/>
                <w:color w:val="000000"/>
                <w:sz w:val="21"/>
                <w:szCs w:val="21"/>
              </w:rPr>
              <w:t>水泥</w:t>
            </w:r>
          </w:p>
        </w:tc>
        <w:tc>
          <w:tcPr>
            <w:tcW w:w="2214" w:type="dxa"/>
            <w:vAlign w:val="center"/>
          </w:tcPr>
          <w:p w14:paraId="71439522" w14:textId="77777777" w:rsidR="00F50C4B" w:rsidRPr="00EF3B85" w:rsidRDefault="00F50C4B" w:rsidP="001117A3">
            <w:pPr>
              <w:pStyle w:val="a3"/>
              <w:spacing w:before="0" w:beforeAutospacing="0" w:after="0"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普通硅酸盐水泥42.5</w:t>
            </w:r>
          </w:p>
        </w:tc>
        <w:tc>
          <w:tcPr>
            <w:tcW w:w="951" w:type="dxa"/>
            <w:vAlign w:val="center"/>
          </w:tcPr>
          <w:p w14:paraId="48BD3E20" w14:textId="5D4BD77A" w:rsidR="00F50C4B" w:rsidRPr="00EF3B85" w:rsidRDefault="00F50C4B" w:rsidP="001117A3">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12</w:t>
            </w:r>
            <w:r>
              <w:rPr>
                <w:rFonts w:ascii="微软雅黑" w:eastAsia="微软雅黑" w:hAnsi="微软雅黑" w:hint="eastAsia"/>
                <w:color w:val="000000"/>
                <w:sz w:val="21"/>
                <w:szCs w:val="21"/>
              </w:rPr>
              <w:t>000</w:t>
            </w:r>
          </w:p>
        </w:tc>
        <w:tc>
          <w:tcPr>
            <w:tcW w:w="1253" w:type="dxa"/>
            <w:vAlign w:val="center"/>
          </w:tcPr>
          <w:p w14:paraId="1F05265F" w14:textId="77777777" w:rsidR="00F50C4B" w:rsidRPr="00EF3B85" w:rsidRDefault="00F50C4B" w:rsidP="001117A3">
            <w:pPr>
              <w:pStyle w:val="a3"/>
              <w:spacing w:before="0" w:beforeAutospacing="0" w:after="0" w:afterAutospacing="0" w:line="240" w:lineRule="exac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GB175</w:t>
            </w:r>
          </w:p>
        </w:tc>
        <w:tc>
          <w:tcPr>
            <w:tcW w:w="1152" w:type="dxa"/>
            <w:vAlign w:val="center"/>
          </w:tcPr>
          <w:p w14:paraId="239DCEB3"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c>
          <w:tcPr>
            <w:tcW w:w="1132" w:type="dxa"/>
            <w:vMerge w:val="restart"/>
            <w:vAlign w:val="center"/>
          </w:tcPr>
          <w:p w14:paraId="780F67BD"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r>
      <w:tr w:rsidR="00F50C4B" w:rsidRPr="00960C25" w14:paraId="55422341" w14:textId="77777777" w:rsidTr="001117A3">
        <w:tc>
          <w:tcPr>
            <w:tcW w:w="710" w:type="dxa"/>
            <w:vAlign w:val="center"/>
          </w:tcPr>
          <w:p w14:paraId="17B076C3" w14:textId="77777777" w:rsidR="00F50C4B" w:rsidRPr="00960C25" w:rsidRDefault="00F50C4B" w:rsidP="001117A3">
            <w:pPr>
              <w:pStyle w:val="a3"/>
              <w:spacing w:before="0" w:beforeAutospacing="0" w:after="0" w:afterAutospacing="0" w:line="360" w:lineRule="atLeast"/>
              <w:jc w:val="center"/>
              <w:rPr>
                <w:color w:val="000000"/>
                <w:sz w:val="21"/>
                <w:szCs w:val="21"/>
              </w:rPr>
            </w:pPr>
          </w:p>
        </w:tc>
        <w:tc>
          <w:tcPr>
            <w:tcW w:w="950" w:type="dxa"/>
            <w:vAlign w:val="center"/>
          </w:tcPr>
          <w:p w14:paraId="67C8D089"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c>
          <w:tcPr>
            <w:tcW w:w="2214" w:type="dxa"/>
            <w:vAlign w:val="center"/>
          </w:tcPr>
          <w:p w14:paraId="1DF5035E" w14:textId="77777777" w:rsidR="00F50C4B" w:rsidRPr="00EF3B85" w:rsidRDefault="00F50C4B" w:rsidP="001117A3">
            <w:pPr>
              <w:pStyle w:val="a3"/>
              <w:spacing w:before="0" w:beforeAutospacing="0" w:after="0" w:afterAutospacing="0" w:line="360" w:lineRule="atLeast"/>
              <w:rPr>
                <w:rFonts w:ascii="微软雅黑" w:eastAsia="微软雅黑" w:hAnsi="微软雅黑"/>
                <w:color w:val="000000"/>
                <w:sz w:val="21"/>
                <w:szCs w:val="21"/>
              </w:rPr>
            </w:pPr>
          </w:p>
        </w:tc>
        <w:tc>
          <w:tcPr>
            <w:tcW w:w="951" w:type="dxa"/>
            <w:vAlign w:val="center"/>
          </w:tcPr>
          <w:p w14:paraId="5B8F00B1" w14:textId="77777777" w:rsidR="00F50C4B" w:rsidRPr="00EF3B85" w:rsidRDefault="00F50C4B" w:rsidP="001117A3">
            <w:pPr>
              <w:pStyle w:val="a3"/>
              <w:spacing w:before="0" w:beforeAutospacing="0" w:after="0" w:afterAutospacing="0" w:line="360" w:lineRule="atLeast"/>
              <w:jc w:val="center"/>
              <w:rPr>
                <w:rFonts w:ascii="微软雅黑" w:eastAsia="微软雅黑" w:hAnsi="微软雅黑"/>
                <w:color w:val="000000"/>
                <w:sz w:val="21"/>
                <w:szCs w:val="21"/>
              </w:rPr>
            </w:pPr>
          </w:p>
        </w:tc>
        <w:tc>
          <w:tcPr>
            <w:tcW w:w="1253" w:type="dxa"/>
            <w:vAlign w:val="center"/>
          </w:tcPr>
          <w:p w14:paraId="181A7473" w14:textId="77777777" w:rsidR="00F50C4B" w:rsidRPr="00EF3B85" w:rsidRDefault="00F50C4B" w:rsidP="001117A3">
            <w:pPr>
              <w:pStyle w:val="a3"/>
              <w:spacing w:before="0" w:beforeAutospacing="0" w:after="0" w:afterAutospacing="0" w:line="360" w:lineRule="atLeast"/>
              <w:jc w:val="center"/>
              <w:rPr>
                <w:rFonts w:ascii="微软雅黑" w:eastAsia="微软雅黑" w:hAnsi="微软雅黑"/>
                <w:color w:val="000000"/>
                <w:sz w:val="21"/>
                <w:szCs w:val="21"/>
              </w:rPr>
            </w:pPr>
          </w:p>
        </w:tc>
        <w:tc>
          <w:tcPr>
            <w:tcW w:w="1152" w:type="dxa"/>
            <w:vAlign w:val="center"/>
          </w:tcPr>
          <w:p w14:paraId="49F213B4"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c>
          <w:tcPr>
            <w:tcW w:w="1132" w:type="dxa"/>
            <w:vMerge/>
            <w:vAlign w:val="center"/>
          </w:tcPr>
          <w:p w14:paraId="66EAB582"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r>
      <w:tr w:rsidR="00F50C4B" w:rsidRPr="00960C25" w14:paraId="49FFF989" w14:textId="77777777" w:rsidTr="001117A3">
        <w:tc>
          <w:tcPr>
            <w:tcW w:w="710" w:type="dxa"/>
            <w:vAlign w:val="center"/>
          </w:tcPr>
          <w:p w14:paraId="654F4516" w14:textId="77777777" w:rsidR="00F50C4B" w:rsidRPr="00960C25" w:rsidRDefault="00F50C4B" w:rsidP="001117A3">
            <w:pPr>
              <w:pStyle w:val="a3"/>
              <w:spacing w:before="0" w:beforeAutospacing="0" w:after="0" w:afterAutospacing="0" w:line="360" w:lineRule="atLeast"/>
              <w:jc w:val="center"/>
              <w:rPr>
                <w:color w:val="000000"/>
                <w:sz w:val="21"/>
                <w:szCs w:val="21"/>
              </w:rPr>
            </w:pPr>
          </w:p>
        </w:tc>
        <w:tc>
          <w:tcPr>
            <w:tcW w:w="950" w:type="dxa"/>
            <w:vAlign w:val="center"/>
          </w:tcPr>
          <w:p w14:paraId="2D1A39FB"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c>
          <w:tcPr>
            <w:tcW w:w="2214" w:type="dxa"/>
            <w:vAlign w:val="center"/>
          </w:tcPr>
          <w:p w14:paraId="622F159E"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c>
          <w:tcPr>
            <w:tcW w:w="951" w:type="dxa"/>
            <w:vAlign w:val="center"/>
          </w:tcPr>
          <w:p w14:paraId="435D3A85"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c>
          <w:tcPr>
            <w:tcW w:w="1253" w:type="dxa"/>
            <w:vAlign w:val="center"/>
          </w:tcPr>
          <w:p w14:paraId="6A9ADE46"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c>
          <w:tcPr>
            <w:tcW w:w="1152" w:type="dxa"/>
            <w:vAlign w:val="center"/>
          </w:tcPr>
          <w:p w14:paraId="524E1B17"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c>
          <w:tcPr>
            <w:tcW w:w="1132" w:type="dxa"/>
            <w:vAlign w:val="center"/>
          </w:tcPr>
          <w:p w14:paraId="19721E45" w14:textId="77777777" w:rsidR="00F50C4B" w:rsidRPr="007973A9" w:rsidRDefault="00F50C4B" w:rsidP="001117A3">
            <w:pPr>
              <w:pStyle w:val="a3"/>
              <w:spacing w:before="0" w:beforeAutospacing="0" w:after="0" w:afterAutospacing="0" w:line="360" w:lineRule="atLeast"/>
              <w:jc w:val="center"/>
              <w:rPr>
                <w:color w:val="000000"/>
                <w:sz w:val="21"/>
                <w:szCs w:val="21"/>
              </w:rPr>
            </w:pPr>
          </w:p>
        </w:tc>
      </w:tr>
      <w:tr w:rsidR="00F50C4B" w:rsidRPr="00960C25" w14:paraId="4415ABE4" w14:textId="77777777" w:rsidTr="001117A3">
        <w:tc>
          <w:tcPr>
            <w:tcW w:w="8362" w:type="dxa"/>
            <w:gridSpan w:val="7"/>
            <w:vAlign w:val="center"/>
          </w:tcPr>
          <w:p w14:paraId="7C14C6A5" w14:textId="41965BCE" w:rsidR="00F50C4B" w:rsidRPr="00960C25" w:rsidRDefault="00F50C4B" w:rsidP="001117A3">
            <w:pPr>
              <w:pStyle w:val="a3"/>
              <w:spacing w:before="0" w:beforeAutospacing="0" w:after="0" w:afterAutospacing="0" w:line="360" w:lineRule="atLeast"/>
              <w:jc w:val="center"/>
              <w:rPr>
                <w:color w:val="000000"/>
                <w:sz w:val="21"/>
                <w:szCs w:val="21"/>
              </w:rPr>
            </w:pPr>
          </w:p>
        </w:tc>
      </w:tr>
      <w:tr w:rsidR="00F50C4B" w:rsidRPr="00960C25" w14:paraId="4A7FD8A2" w14:textId="77777777" w:rsidTr="001117A3">
        <w:tc>
          <w:tcPr>
            <w:tcW w:w="710" w:type="dxa"/>
            <w:vAlign w:val="center"/>
          </w:tcPr>
          <w:p w14:paraId="0E701EBA" w14:textId="77777777" w:rsidR="00F50C4B" w:rsidRPr="00960C25" w:rsidRDefault="00F50C4B" w:rsidP="001117A3">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14:paraId="7E577153" w14:textId="53773823" w:rsidR="00F50C4B" w:rsidRDefault="00F50C4B" w:rsidP="001117A3">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w:t>
            </w:r>
            <w:proofErr w:type="gramStart"/>
            <w:r w:rsidRPr="00531359">
              <w:rPr>
                <w:rFonts w:hint="eastAsia"/>
                <w:color w:val="000000"/>
                <w:sz w:val="21"/>
                <w:szCs w:val="21"/>
              </w:rPr>
              <w:t>为网银转账</w:t>
            </w:r>
            <w:proofErr w:type="gramEnd"/>
            <w:r w:rsidRPr="00531359">
              <w:rPr>
                <w:rFonts w:hint="eastAsia"/>
                <w:color w:val="000000"/>
                <w:sz w:val="21"/>
                <w:szCs w:val="21"/>
              </w:rPr>
              <w:t>或银行承兑</w:t>
            </w:r>
            <w:r>
              <w:rPr>
                <w:rFonts w:hint="eastAsia"/>
                <w:color w:val="000000"/>
                <w:sz w:val="21"/>
                <w:szCs w:val="21"/>
              </w:rPr>
              <w:t>，银承</w:t>
            </w:r>
            <w:proofErr w:type="gramStart"/>
            <w:r>
              <w:rPr>
                <w:rFonts w:hint="eastAsia"/>
                <w:color w:val="000000"/>
                <w:sz w:val="21"/>
                <w:szCs w:val="21"/>
              </w:rPr>
              <w:t>不</w:t>
            </w:r>
            <w:proofErr w:type="gramEnd"/>
            <w:r>
              <w:rPr>
                <w:rFonts w:hint="eastAsia"/>
                <w:color w:val="000000"/>
                <w:sz w:val="21"/>
                <w:szCs w:val="21"/>
              </w:rPr>
              <w:t>贴息，</w:t>
            </w:r>
            <w:r>
              <w:rPr>
                <w:rFonts w:hint="eastAsia"/>
                <w:color w:val="000000"/>
                <w:sz w:val="21"/>
                <w:szCs w:val="21"/>
              </w:rPr>
              <w:t>月进度70</w:t>
            </w:r>
            <w:r>
              <w:rPr>
                <w:rFonts w:hint="eastAsia"/>
                <w:color w:val="000000"/>
                <w:sz w:val="21"/>
                <w:szCs w:val="21"/>
              </w:rPr>
              <w:t>%，供货结束一个月付清</w:t>
            </w:r>
            <w:r w:rsidRPr="00531359">
              <w:rPr>
                <w:rFonts w:hint="eastAsia"/>
                <w:color w:val="000000"/>
                <w:sz w:val="21"/>
                <w:szCs w:val="21"/>
              </w:rPr>
              <w:t>。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14:paraId="7BA38059" w14:textId="19BE61A9" w:rsidR="00F50C4B" w:rsidRPr="00960C25" w:rsidRDefault="00F50C4B" w:rsidP="00F50C4B">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、乙方承诺所供应的材料</w:t>
            </w:r>
            <w:r w:rsidRPr="00531359">
              <w:rPr>
                <w:rFonts w:hint="eastAsia"/>
                <w:color w:val="000000"/>
                <w:sz w:val="21"/>
                <w:szCs w:val="21"/>
              </w:rPr>
              <w:t>必须合格且符合国家规范要求；                                                                         5、</w:t>
            </w:r>
            <w:r w:rsidRPr="00805FD5">
              <w:rPr>
                <w:rFonts w:hint="eastAsia"/>
                <w:b/>
                <w:color w:val="FF0000"/>
              </w:rPr>
              <w:t>本报价表必须在20</w:t>
            </w:r>
            <w:r>
              <w:rPr>
                <w:rFonts w:hint="eastAsia"/>
                <w:b/>
                <w:color w:val="FF0000"/>
              </w:rPr>
              <w:t>20</w:t>
            </w:r>
            <w:r w:rsidRPr="00805FD5">
              <w:rPr>
                <w:rFonts w:hint="eastAsia"/>
                <w:b/>
                <w:color w:val="FF0000"/>
              </w:rPr>
              <w:t>年</w:t>
            </w:r>
            <w:r>
              <w:rPr>
                <w:rFonts w:hint="eastAsia"/>
                <w:b/>
                <w:color w:val="FF0000"/>
              </w:rPr>
              <w:t>0</w:t>
            </w:r>
            <w:r>
              <w:rPr>
                <w:rFonts w:hint="eastAsia"/>
                <w:b/>
                <w:color w:val="FF0000"/>
              </w:rPr>
              <w:t>4</w:t>
            </w:r>
            <w:r w:rsidRPr="00805FD5">
              <w:rPr>
                <w:rFonts w:hint="eastAsia"/>
                <w:b/>
                <w:color w:val="FF0000"/>
              </w:rPr>
              <w:t>月</w:t>
            </w:r>
            <w:r>
              <w:rPr>
                <w:rFonts w:hint="eastAsia"/>
                <w:b/>
                <w:color w:val="FF0000"/>
              </w:rPr>
              <w:t>16</w:t>
            </w:r>
            <w:r w:rsidRPr="00805FD5">
              <w:rPr>
                <w:rFonts w:hint="eastAsia"/>
                <w:b/>
                <w:color w:val="FF0000"/>
              </w:rPr>
              <w:t>日</w:t>
            </w:r>
            <w:r>
              <w:rPr>
                <w:rFonts w:hint="eastAsia"/>
                <w:b/>
                <w:color w:val="FF0000"/>
              </w:rPr>
              <w:t>1</w:t>
            </w:r>
            <w:r>
              <w:rPr>
                <w:rFonts w:hint="eastAsia"/>
                <w:b/>
                <w:color w:val="FF0000"/>
              </w:rPr>
              <w:t>7</w:t>
            </w:r>
            <w:r w:rsidRPr="00805FD5">
              <w:rPr>
                <w:rFonts w:hint="eastAsia"/>
                <w:b/>
                <w:color w:val="FF0000"/>
              </w:rPr>
              <w:t>点前盖章扫描发至邮箱jscjzbzy@163.com（逾期视为未投标），</w:t>
            </w:r>
            <w:r>
              <w:rPr>
                <w:rFonts w:hint="eastAsia"/>
                <w:b/>
                <w:color w:val="FF0000"/>
              </w:rPr>
              <w:t>联系人：王福江，</w:t>
            </w:r>
            <w:r w:rsidRPr="00805FD5">
              <w:rPr>
                <w:rFonts w:hint="eastAsia"/>
                <w:b/>
                <w:color w:val="FF0000"/>
              </w:rPr>
              <w:t>电话：13814444436。</w:t>
            </w:r>
          </w:p>
        </w:tc>
      </w:tr>
    </w:tbl>
    <w:p w14:paraId="25A693E6" w14:textId="77777777" w:rsidR="00F50C4B" w:rsidRDefault="00F50C4B" w:rsidP="00F50C4B">
      <w:pPr>
        <w:pStyle w:val="a3"/>
        <w:spacing w:before="0" w:beforeAutospacing="0" w:after="0" w:afterAutospacing="0" w:line="360" w:lineRule="atLeast"/>
        <w:rPr>
          <w:rFonts w:ascii="微软雅黑" w:eastAsia="微软雅黑" w:hAnsi="微软雅黑"/>
          <w:color w:val="000000"/>
        </w:rPr>
      </w:pPr>
    </w:p>
    <w:p w14:paraId="02849841" w14:textId="77777777" w:rsidR="00F50C4B" w:rsidRDefault="00F50C4B" w:rsidP="00F50C4B">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14:paraId="33D1A3D8" w14:textId="77777777" w:rsidR="00F50C4B" w:rsidRDefault="00F50C4B" w:rsidP="00F50C4B">
      <w:pPr>
        <w:pStyle w:val="a3"/>
        <w:spacing w:before="0" w:beforeAutospacing="0" w:after="0" w:afterAutospacing="0" w:line="360" w:lineRule="atLeast"/>
        <w:rPr>
          <w:rFonts w:ascii="微软雅黑" w:eastAsia="微软雅黑" w:hAnsi="微软雅黑"/>
          <w:color w:val="000000"/>
        </w:rPr>
      </w:pPr>
    </w:p>
    <w:p w14:paraId="0C877216" w14:textId="77777777" w:rsidR="00F50C4B" w:rsidRDefault="00F50C4B" w:rsidP="00F50C4B">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报价人（章）：                      日期：</w:t>
      </w:r>
    </w:p>
    <w:sectPr w:rsidR="00F50C4B"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18426" w14:textId="77777777" w:rsidR="00E507B9" w:rsidRDefault="00E507B9" w:rsidP="009D1350">
      <w:r>
        <w:separator/>
      </w:r>
    </w:p>
  </w:endnote>
  <w:endnote w:type="continuationSeparator" w:id="0">
    <w:p w14:paraId="1E3FC373" w14:textId="77777777" w:rsidR="00E507B9" w:rsidRDefault="00E507B9"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FF319" w14:textId="77777777" w:rsidR="00E507B9" w:rsidRDefault="00E507B9" w:rsidP="009D1350">
      <w:r>
        <w:separator/>
      </w:r>
    </w:p>
  </w:footnote>
  <w:footnote w:type="continuationSeparator" w:id="0">
    <w:p w14:paraId="1FC5C280" w14:textId="77777777" w:rsidR="00E507B9" w:rsidRDefault="00E507B9"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2752"/>
    <w:rsid w:val="00074DC6"/>
    <w:rsid w:val="000C099F"/>
    <w:rsid w:val="000D7251"/>
    <w:rsid w:val="00105F53"/>
    <w:rsid w:val="00106C4E"/>
    <w:rsid w:val="00112688"/>
    <w:rsid w:val="0011402E"/>
    <w:rsid w:val="001502AD"/>
    <w:rsid w:val="0016697A"/>
    <w:rsid w:val="00193936"/>
    <w:rsid w:val="0019551E"/>
    <w:rsid w:val="001A4237"/>
    <w:rsid w:val="001B39EC"/>
    <w:rsid w:val="001C0FA3"/>
    <w:rsid w:val="001D2EA2"/>
    <w:rsid w:val="001F4A0E"/>
    <w:rsid w:val="002175BB"/>
    <w:rsid w:val="00252819"/>
    <w:rsid w:val="00260AB8"/>
    <w:rsid w:val="002956F1"/>
    <w:rsid w:val="00296081"/>
    <w:rsid w:val="002A3998"/>
    <w:rsid w:val="00325A04"/>
    <w:rsid w:val="003366DD"/>
    <w:rsid w:val="00343611"/>
    <w:rsid w:val="003B503D"/>
    <w:rsid w:val="00427C5D"/>
    <w:rsid w:val="004320F2"/>
    <w:rsid w:val="00445B3C"/>
    <w:rsid w:val="0048461A"/>
    <w:rsid w:val="004B3B38"/>
    <w:rsid w:val="004B588D"/>
    <w:rsid w:val="004E6A42"/>
    <w:rsid w:val="004F5376"/>
    <w:rsid w:val="004F6126"/>
    <w:rsid w:val="00506CA8"/>
    <w:rsid w:val="005215BC"/>
    <w:rsid w:val="005339A5"/>
    <w:rsid w:val="005374C7"/>
    <w:rsid w:val="0054737C"/>
    <w:rsid w:val="005924D1"/>
    <w:rsid w:val="00592589"/>
    <w:rsid w:val="006012BD"/>
    <w:rsid w:val="00612819"/>
    <w:rsid w:val="0066797E"/>
    <w:rsid w:val="006811FC"/>
    <w:rsid w:val="00683C32"/>
    <w:rsid w:val="006857A2"/>
    <w:rsid w:val="006B1FB2"/>
    <w:rsid w:val="006B7F61"/>
    <w:rsid w:val="006D79CD"/>
    <w:rsid w:val="00722DC4"/>
    <w:rsid w:val="007407B9"/>
    <w:rsid w:val="007564B8"/>
    <w:rsid w:val="007973A9"/>
    <w:rsid w:val="007E18AE"/>
    <w:rsid w:val="0081592A"/>
    <w:rsid w:val="008574E9"/>
    <w:rsid w:val="008821C4"/>
    <w:rsid w:val="008C3223"/>
    <w:rsid w:val="008C4BF7"/>
    <w:rsid w:val="0092564B"/>
    <w:rsid w:val="00947C44"/>
    <w:rsid w:val="009A63EB"/>
    <w:rsid w:val="009B702D"/>
    <w:rsid w:val="009D1350"/>
    <w:rsid w:val="00A136E8"/>
    <w:rsid w:val="00A436E4"/>
    <w:rsid w:val="00A53FDC"/>
    <w:rsid w:val="00A572A3"/>
    <w:rsid w:val="00A73D7F"/>
    <w:rsid w:val="00AB369C"/>
    <w:rsid w:val="00AC67FB"/>
    <w:rsid w:val="00B27932"/>
    <w:rsid w:val="00B64512"/>
    <w:rsid w:val="00BD45B1"/>
    <w:rsid w:val="00C03DC0"/>
    <w:rsid w:val="00C70FF3"/>
    <w:rsid w:val="00C73B2F"/>
    <w:rsid w:val="00C84369"/>
    <w:rsid w:val="00CC682E"/>
    <w:rsid w:val="00DA7F6F"/>
    <w:rsid w:val="00DD5B03"/>
    <w:rsid w:val="00DF0AA3"/>
    <w:rsid w:val="00DF0D4E"/>
    <w:rsid w:val="00E0479C"/>
    <w:rsid w:val="00E078BF"/>
    <w:rsid w:val="00E218F2"/>
    <w:rsid w:val="00E35148"/>
    <w:rsid w:val="00E507B9"/>
    <w:rsid w:val="00E5408A"/>
    <w:rsid w:val="00E5511E"/>
    <w:rsid w:val="00EA562F"/>
    <w:rsid w:val="00EF3B85"/>
    <w:rsid w:val="00F4316E"/>
    <w:rsid w:val="00F50C4B"/>
    <w:rsid w:val="00F762AD"/>
    <w:rsid w:val="00F76746"/>
    <w:rsid w:val="00FC4C79"/>
    <w:rsid w:val="00FC6E31"/>
    <w:rsid w:val="00FE795A"/>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1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973A9"/>
    <w:pPr>
      <w:ind w:leftChars="2500" w:left="100"/>
    </w:pPr>
  </w:style>
  <w:style w:type="character" w:customStyle="1" w:styleId="Char1">
    <w:name w:val="日期 Char"/>
    <w:basedOn w:val="a0"/>
    <w:link w:val="a7"/>
    <w:uiPriority w:val="99"/>
    <w:semiHidden/>
    <w:rsid w:val="007973A9"/>
  </w:style>
  <w:style w:type="table" w:styleId="a8">
    <w:name w:val="Table Grid"/>
    <w:basedOn w:val="a1"/>
    <w:uiPriority w:val="59"/>
    <w:rsid w:val="007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313</Words>
  <Characters>1789</Characters>
  <Application>Microsoft Office Word</Application>
  <DocSecurity>0</DocSecurity>
  <Lines>14</Lines>
  <Paragraphs>4</Paragraphs>
  <ScaleCrop>false</ScaleCrop>
  <Company>china</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74</cp:revision>
  <dcterms:created xsi:type="dcterms:W3CDTF">2019-03-20T09:13:00Z</dcterms:created>
  <dcterms:modified xsi:type="dcterms:W3CDTF">2020-04-14T07:06:00Z</dcterms:modified>
</cp:coreProperties>
</file>