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滁州恒大文化旅游康养城项目首一期地块桩基工程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管桩采购招标文件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>滁州恒大文化旅游康养城项目首一期地块桩基工程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12939"/>
      <w:bookmarkStart w:id="3" w:name="_Toc387526364"/>
      <w:bookmarkStart w:id="4" w:name="_Toc387526272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180000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cs="宋体" w:eastAsiaTheme="minorEastAsia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安徽省滁州市</w:t>
      </w:r>
      <w:r>
        <w:rPr>
          <w:rFonts w:hint="eastAsia" w:ascii="宋体" w:hAnsi="宋体"/>
          <w:sz w:val="24"/>
          <w:u w:val="single"/>
          <w:lang w:eastAsia="zh-CN"/>
        </w:rPr>
        <w:t>。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满足现场施工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87526273"/>
      <w:bookmarkStart w:id="8" w:name="_Toc397928541"/>
      <w:bookmarkStart w:id="9" w:name="_Toc20597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投标企业必须是具有独立法人资格的管桩制造商。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171"/>
      <w:bookmarkStart w:id="12" w:name="_Toc387526275"/>
      <w:bookmarkStart w:id="13" w:name="_Toc397928542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87526278"/>
      <w:bookmarkStart w:id="18" w:name="_Toc30068"/>
      <w:bookmarkStart w:id="19" w:name="_Toc387526370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16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387526279"/>
      <w:bookmarkStart w:id="23" w:name="_Toc13051"/>
      <w:bookmarkStart w:id="24" w:name="_Toc38752637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11155"/>
      <w:bookmarkStart w:id="27" w:name="_Toc387526280"/>
      <w:bookmarkStart w:id="28" w:name="_Toc397928546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5000" w:type="pct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2259"/>
        <w:gridCol w:w="1314"/>
        <w:gridCol w:w="1216"/>
        <w:gridCol w:w="1689"/>
        <w:gridCol w:w="1570"/>
        <w:gridCol w:w="1803"/>
        <w:gridCol w:w="1788"/>
        <w:gridCol w:w="170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管桩供应报价单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7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工程名称：滁州恒大文化旅游康养城项目首一期地块桩基工程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暂定供货量（m）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（元/m）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（元/m），税率13%</w:t>
            </w:r>
          </w:p>
        </w:tc>
        <w:tc>
          <w:tcPr>
            <w:tcW w:w="6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付款方式</w:t>
            </w:r>
          </w:p>
        </w:tc>
        <w:tc>
          <w:tcPr>
            <w:tcW w:w="60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PHC600（130）AB-C80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桩长6-15m</w:t>
            </w: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144000</w:t>
            </w:r>
          </w:p>
        </w:tc>
        <w:tc>
          <w:tcPr>
            <w:tcW w:w="604" w:type="pct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国标图集（10G409)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1）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桩长小于9米为短桩，加价    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    元/米（含税价）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2）</w:t>
            </w: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PHC500（125）AB-C80</w:t>
            </w:r>
          </w:p>
        </w:tc>
        <w:tc>
          <w:tcPr>
            <w:tcW w:w="4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桩长6-15m</w:t>
            </w:r>
          </w:p>
        </w:tc>
        <w:tc>
          <w:tcPr>
            <w:tcW w:w="4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1）</w:t>
            </w:r>
          </w:p>
        </w:tc>
        <w:tc>
          <w:tcPr>
            <w:tcW w:w="6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桩长小于9米为短桩，加价         元/米（含税价）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2）</w:t>
            </w:r>
          </w:p>
        </w:tc>
        <w:tc>
          <w:tcPr>
            <w:tcW w:w="6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4769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1）、每月25号核对工程量，次月5号前支付本批次货款的70%，剩余30%供货结束后二个月内付清；现金或银行承兑汇票（银行承兑汇票不贴息）                                                 2）现款现货：现金或银行承兑汇票（银行承兑汇票不贴息）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5、本报价表需盖章扫描回复至邮箱jscjzbzy@163.com,回复截至时间为2020年5月16日12:00,联系人:杨燕，联系电话:025-68752138；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6、后附《中国煤炭地质总局供应商准入申请表》，请贵单位按要求填写并盖章扫描同时回传。</w:t>
            </w:r>
            <w:bookmarkStart w:id="31" w:name="_GoBack"/>
            <w:bookmarkEnd w:id="31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9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9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9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9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9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报价人（章）：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联系电话;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      期：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D6D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D5A3891"/>
    <w:rsid w:val="0F3B79B9"/>
    <w:rsid w:val="100B0C5A"/>
    <w:rsid w:val="11846E99"/>
    <w:rsid w:val="18674358"/>
    <w:rsid w:val="21330F98"/>
    <w:rsid w:val="274E3E4F"/>
    <w:rsid w:val="2C3A6FAA"/>
    <w:rsid w:val="2D222269"/>
    <w:rsid w:val="31134CA1"/>
    <w:rsid w:val="32EA1B04"/>
    <w:rsid w:val="37A43B8D"/>
    <w:rsid w:val="3D654CBA"/>
    <w:rsid w:val="3F687F76"/>
    <w:rsid w:val="40CA26B0"/>
    <w:rsid w:val="492A78B9"/>
    <w:rsid w:val="4A0151C8"/>
    <w:rsid w:val="4A79516D"/>
    <w:rsid w:val="51F76B92"/>
    <w:rsid w:val="52627BBF"/>
    <w:rsid w:val="537C272D"/>
    <w:rsid w:val="54375E2F"/>
    <w:rsid w:val="577F1256"/>
    <w:rsid w:val="5A9A15EC"/>
    <w:rsid w:val="5D7E28E7"/>
    <w:rsid w:val="5F1100AA"/>
    <w:rsid w:val="686E7AAE"/>
    <w:rsid w:val="6A7238E9"/>
    <w:rsid w:val="704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13</TotalTime>
  <ScaleCrop>false</ScaleCrop>
  <LinksUpToDate>false</LinksUpToDate>
  <CharactersWithSpaces>793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2020-05-06T01:31:07Z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