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tLeast"/>
        <w:jc w:val="center"/>
        <w:textAlignment w:val="baseline"/>
        <w:rPr>
          <w:rFonts w:ascii="微软雅黑" w:hAnsi="微软雅黑" w:eastAsia="微软雅黑"/>
          <w:color w:val="666666"/>
          <w:sz w:val="32"/>
          <w:szCs w:val="32"/>
        </w:rPr>
      </w:pPr>
      <w:r>
        <w:rPr>
          <w:rFonts w:hint="eastAsia" w:ascii="微软雅黑" w:hAnsi="微软雅黑" w:eastAsia="微软雅黑"/>
          <w:color w:val="666666"/>
          <w:sz w:val="32"/>
          <w:szCs w:val="32"/>
        </w:rPr>
        <w:t>徐州恒大潘安湖生态小镇</w:t>
      </w:r>
      <w:r>
        <w:rPr>
          <w:rFonts w:hint="eastAsia" w:ascii="微软雅黑" w:hAnsi="微软雅黑" w:eastAsia="微软雅黑"/>
          <w:color w:val="666666"/>
          <w:sz w:val="32"/>
          <w:szCs w:val="32"/>
          <w:lang w:val="en-US" w:eastAsia="zh-CN"/>
        </w:rPr>
        <w:t>中小学项目工程桩工程</w:t>
      </w:r>
    </w:p>
    <w:p>
      <w:pPr>
        <w:pStyle w:val="5"/>
        <w:spacing w:before="0" w:beforeAutospacing="0" w:after="0" w:afterAutospacing="0" w:line="360" w:lineRule="atLeast"/>
        <w:jc w:val="center"/>
        <w:textAlignment w:val="baseline"/>
        <w:rPr>
          <w:rFonts w:ascii="微软雅黑" w:hAnsi="微软雅黑" w:eastAsia="微软雅黑"/>
          <w:color w:val="666666"/>
          <w:sz w:val="44"/>
          <w:szCs w:val="44"/>
        </w:rPr>
      </w:pPr>
      <w:r>
        <w:rPr>
          <w:rFonts w:hint="eastAsia" w:ascii="微软雅黑" w:hAnsi="微软雅黑" w:eastAsia="微软雅黑"/>
          <w:color w:val="666666"/>
          <w:sz w:val="44"/>
          <w:szCs w:val="44"/>
        </w:rPr>
        <w:t>预制桩采购招标文件</w:t>
      </w:r>
    </w:p>
    <w:p>
      <w:pPr>
        <w:pStyle w:val="5"/>
        <w:spacing w:before="0" w:beforeAutospacing="0" w:after="0" w:afterAutospacing="0" w:line="360" w:lineRule="atLeast"/>
        <w:ind w:firstLine="480"/>
        <w:textAlignment w:val="baseline"/>
        <w:rPr>
          <w:rFonts w:ascii="微软雅黑" w:hAnsi="微软雅黑" w:eastAsia="微软雅黑"/>
          <w:color w:val="666666"/>
        </w:rPr>
      </w:pPr>
      <w:r>
        <w:rPr>
          <w:rFonts w:hint="eastAsia" w:ascii="微软雅黑" w:hAnsi="微软雅黑" w:eastAsia="微软雅黑"/>
          <w:color w:val="333333"/>
        </w:rPr>
        <w:t>1. 招标项目简介</w:t>
      </w:r>
    </w:p>
    <w:p>
      <w:pPr>
        <w:pStyle w:val="5"/>
        <w:spacing w:line="420" w:lineRule="atLeast"/>
        <w:ind w:firstLine="480"/>
        <w:rPr>
          <w:rFonts w:ascii="微软雅黑" w:hAnsi="微软雅黑" w:eastAsia="微软雅黑"/>
          <w:color w:val="666666"/>
        </w:rPr>
      </w:pPr>
      <w:r>
        <w:rPr>
          <w:rFonts w:hint="eastAsia" w:ascii="微软雅黑" w:hAnsi="微软雅黑" w:eastAsia="微软雅黑"/>
          <w:b/>
          <w:color w:val="333333"/>
        </w:rPr>
        <w:t>徐州恒大潘安湖生态小镇中小学项目工程桩工程</w:t>
      </w:r>
      <w:r>
        <w:rPr>
          <w:rFonts w:hint="eastAsia" w:ascii="微软雅黑" w:hAnsi="微软雅黑" w:eastAsia="微软雅黑"/>
          <w:b/>
          <w:color w:val="000000"/>
        </w:rPr>
        <w:t>，</w:t>
      </w:r>
      <w:r>
        <w:rPr>
          <w:rFonts w:hint="eastAsia" w:ascii="微软雅黑" w:hAnsi="微软雅黑" w:eastAsia="微软雅黑"/>
          <w:color w:val="333333"/>
        </w:rPr>
        <w:t>项目建设单位为</w:t>
      </w:r>
      <w:r>
        <w:rPr>
          <w:rFonts w:hint="eastAsia" w:ascii="微软雅黑" w:hAnsi="微软雅黑" w:eastAsia="微软雅黑"/>
          <w:b/>
          <w:color w:val="333333"/>
        </w:rPr>
        <w:t>徐州御泰置业有限公司，</w:t>
      </w:r>
      <w:r>
        <w:rPr>
          <w:rFonts w:hint="eastAsia" w:ascii="微软雅黑" w:hAnsi="微软雅黑" w:eastAsia="微软雅黑"/>
          <w:color w:val="333333"/>
        </w:rPr>
        <w:t>工程承包人</w:t>
      </w:r>
      <w:r>
        <w:rPr>
          <w:rFonts w:hint="eastAsia" w:ascii="微软雅黑" w:hAnsi="微软雅黑" w:eastAsia="微软雅黑"/>
          <w:b/>
          <w:color w:val="333333"/>
        </w:rPr>
        <w:t>中煤长江基础建设有限公司</w:t>
      </w:r>
      <w:r>
        <w:rPr>
          <w:rFonts w:hint="eastAsia" w:ascii="微软雅黑" w:hAnsi="微软雅黑" w:eastAsia="微软雅黑"/>
          <w:color w:val="333333"/>
        </w:rPr>
        <w:t>，项目已具备施工条件，现对该项目的</w:t>
      </w:r>
      <w:r>
        <w:rPr>
          <w:rFonts w:hint="eastAsia" w:ascii="微软雅黑" w:hAnsi="微软雅黑" w:eastAsia="微软雅黑"/>
          <w:b/>
          <w:color w:val="000000"/>
        </w:rPr>
        <w:t>预制桩采购</w:t>
      </w:r>
      <w:r>
        <w:rPr>
          <w:rFonts w:hint="eastAsia" w:ascii="微软雅黑" w:hAnsi="微软雅黑" w:eastAsia="微软雅黑"/>
          <w:color w:val="333333"/>
        </w:rPr>
        <w:t>进行公开招标。</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2. 项目概况与招标范围</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2.1招标范围：</w:t>
      </w:r>
      <w:r>
        <w:rPr>
          <w:rFonts w:hint="eastAsia" w:ascii="微软雅黑" w:hAnsi="微软雅黑" w:eastAsia="微软雅黑"/>
          <w:b/>
          <w:color w:val="000000"/>
        </w:rPr>
        <w:t>预制桩约</w:t>
      </w:r>
      <w:r>
        <w:rPr>
          <w:rFonts w:hint="eastAsia" w:ascii="微软雅黑" w:hAnsi="微软雅黑" w:eastAsia="微软雅黑"/>
          <w:b/>
          <w:color w:val="000000"/>
          <w:lang w:val="en-US" w:eastAsia="zh-CN"/>
        </w:rPr>
        <w:t>800</w:t>
      </w:r>
      <w:r>
        <w:rPr>
          <w:rFonts w:hint="eastAsia" w:ascii="微软雅黑" w:hAnsi="微软雅黑" w:eastAsia="微软雅黑"/>
          <w:b/>
          <w:color w:val="000000"/>
        </w:rPr>
        <w:t>0米，桩型为</w:t>
      </w:r>
      <w:r>
        <w:rPr>
          <w:rFonts w:hint="eastAsia" w:ascii="微软雅黑" w:hAnsi="微软雅黑" w:eastAsia="微软雅黑"/>
          <w:b/>
          <w:color w:val="000000"/>
          <w:lang w:val="en-US" w:eastAsia="zh-CN"/>
        </w:rPr>
        <w:t>YRS</w:t>
      </w:r>
      <w:r>
        <w:rPr>
          <w:rFonts w:hint="eastAsia" w:ascii="微软雅黑" w:hAnsi="微软雅黑" w:eastAsia="微软雅黑"/>
          <w:b/>
          <w:color w:val="000000"/>
        </w:rPr>
        <w:t>-35</w:t>
      </w:r>
      <w:r>
        <w:rPr>
          <w:rFonts w:hint="eastAsia" w:ascii="微软雅黑" w:hAnsi="微软雅黑" w:eastAsia="微软雅黑"/>
          <w:b/>
          <w:color w:val="000000"/>
          <w:lang w:val="en-US" w:eastAsia="zh-CN"/>
        </w:rPr>
        <w:t>B</w:t>
      </w:r>
      <w:r>
        <w:rPr>
          <w:rFonts w:hint="eastAsia" w:ascii="微软雅黑" w:hAnsi="微软雅黑" w:eastAsia="微软雅黑"/>
          <w:b/>
          <w:color w:val="000000"/>
        </w:rPr>
        <w:t>-</w:t>
      </w:r>
      <w:r>
        <w:rPr>
          <w:rFonts w:hint="eastAsia" w:ascii="微软雅黑" w:hAnsi="微软雅黑" w:eastAsia="微软雅黑"/>
          <w:b/>
          <w:color w:val="000000"/>
          <w:lang w:val="en-US" w:eastAsia="zh-CN"/>
        </w:rPr>
        <w:t>11(建华标准），或不低于此标准的企业标准</w:t>
      </w:r>
      <w:r>
        <w:rPr>
          <w:rFonts w:hint="eastAsia" w:ascii="微软雅黑" w:hAnsi="微软雅黑" w:eastAsia="微软雅黑"/>
          <w:b/>
          <w:color w:val="000000"/>
        </w:rPr>
        <w:t>。</w:t>
      </w:r>
    </w:p>
    <w:p>
      <w:pPr>
        <w:pStyle w:val="5"/>
        <w:spacing w:before="0" w:beforeAutospacing="0" w:after="0" w:afterAutospacing="0" w:line="360" w:lineRule="atLeast"/>
        <w:ind w:firstLine="480"/>
        <w:textAlignment w:val="baseline"/>
        <w:rPr>
          <w:rFonts w:hint="default" w:ascii="微软雅黑" w:hAnsi="微软雅黑" w:eastAsia="微软雅黑"/>
          <w:b/>
          <w:color w:val="666666"/>
          <w:lang w:val="en-US" w:eastAsia="zh-CN"/>
        </w:rPr>
      </w:pPr>
      <w:r>
        <w:rPr>
          <w:rFonts w:hint="eastAsia" w:ascii="微软雅黑" w:hAnsi="微软雅黑" w:eastAsia="微软雅黑"/>
          <w:color w:val="000000"/>
        </w:rPr>
        <w:t>2.2交货地点：</w:t>
      </w:r>
      <w:r>
        <w:rPr>
          <w:rFonts w:hint="eastAsia" w:ascii="微软雅黑" w:hAnsi="微软雅黑" w:eastAsia="微软雅黑"/>
          <w:b/>
          <w:color w:val="000000"/>
        </w:rPr>
        <w:t>徐州市贾汪区</w:t>
      </w:r>
      <w:r>
        <w:rPr>
          <w:rFonts w:hint="eastAsia" w:ascii="微软雅黑" w:hAnsi="微软雅黑" w:eastAsia="微软雅黑"/>
          <w:b/>
          <w:color w:val="000000"/>
          <w:lang w:val="en-US" w:eastAsia="zh-CN"/>
        </w:rPr>
        <w:t>潘安湖湖西路东侧</w:t>
      </w:r>
    </w:p>
    <w:p>
      <w:pPr>
        <w:pStyle w:val="5"/>
        <w:spacing w:before="0" w:beforeAutospacing="0" w:after="0" w:afterAutospacing="0" w:line="360" w:lineRule="atLeast"/>
        <w:ind w:firstLine="480"/>
        <w:textAlignment w:val="baseline"/>
        <w:rPr>
          <w:rFonts w:ascii="微软雅黑" w:hAnsi="微软雅黑" w:eastAsia="微软雅黑"/>
          <w:b/>
          <w:color w:val="666666"/>
        </w:rPr>
      </w:pPr>
      <w:r>
        <w:rPr>
          <w:rFonts w:hint="eastAsia" w:ascii="微软雅黑" w:hAnsi="微软雅黑" w:eastAsia="微软雅黑"/>
          <w:color w:val="000000"/>
        </w:rPr>
        <w:t>2.3交货期或交付使用期：</w:t>
      </w:r>
      <w:r>
        <w:rPr>
          <w:rFonts w:hint="eastAsia" w:ascii="微软雅黑" w:hAnsi="微软雅黑" w:eastAsia="微软雅黑"/>
          <w:b/>
          <w:color w:val="000000"/>
        </w:rPr>
        <w:t>随招标人施工进度同步供应，工期约30天。</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3. 投标人资格要求</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3.1 具有独立订立合同的能力；</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3.2 未处于被责令停业、投标资格被取消或者财产被接管、冻结和破产状态；</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3.3 企业没有因骗取中标或者严重违约以及发生重大工程质量、安全生产事故等违法违规问题，被有关部门暂停投标资格并在暂停期内的；</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3.4 资质条件：投标企业必须是具有独立法人资格的制造经销商。</w:t>
      </w:r>
    </w:p>
    <w:p>
      <w:pPr>
        <w:pStyle w:val="5"/>
        <w:spacing w:before="0" w:beforeAutospacing="0" w:after="0" w:afterAutospacing="0" w:line="300" w:lineRule="atLeast"/>
        <w:ind w:firstLine="480"/>
        <w:rPr>
          <w:rFonts w:ascii="微软雅黑" w:hAnsi="微软雅黑" w:eastAsia="微软雅黑"/>
          <w:color w:val="666666"/>
        </w:rPr>
      </w:pPr>
      <w:r>
        <w:rPr>
          <w:rFonts w:hint="eastAsia" w:ascii="微软雅黑" w:hAnsi="微软雅黑" w:eastAsia="微软雅黑"/>
          <w:color w:val="000000"/>
        </w:rPr>
        <w:t>3.5 所有投标单位必须为中国煤炭地质总局入库供应商，否则报价无效，作废标处理。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4. 评标办法</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  </w:t>
      </w:r>
      <w:r>
        <w:rPr>
          <w:rFonts w:hint="eastAsia" w:ascii="微软雅黑" w:hAnsi="微软雅黑" w:eastAsia="微软雅黑"/>
          <w:b/>
          <w:color w:val="333333"/>
          <w:u w:val="single"/>
        </w:rPr>
        <w:t> </w:t>
      </w:r>
      <w:r>
        <w:rPr>
          <w:rFonts w:hint="eastAsia" w:ascii="微软雅黑" w:hAnsi="微软雅黑" w:eastAsia="微软雅黑"/>
          <w:b/>
          <w:color w:val="000000"/>
          <w:u w:val="single"/>
        </w:rPr>
        <w:t>合理低价中标（</w:t>
      </w:r>
      <w:r>
        <w:rPr>
          <w:rFonts w:hint="eastAsia" w:ascii="微软雅黑" w:hAnsi="微软雅黑" w:eastAsia="微软雅黑"/>
          <w:color w:val="000000"/>
        </w:rPr>
        <w:t>招标人内部开标，不另行通知）</w:t>
      </w:r>
    </w:p>
    <w:p>
      <w:pPr>
        <w:pStyle w:val="5"/>
        <w:spacing w:before="0" w:beforeAutospacing="0" w:after="0" w:afterAutospacing="0" w:line="420" w:lineRule="atLeast"/>
        <w:ind w:firstLine="480"/>
        <w:rPr>
          <w:rFonts w:ascii="微软雅黑" w:hAnsi="微软雅黑" w:eastAsia="微软雅黑"/>
          <w:color w:val="666666"/>
        </w:rPr>
      </w:pPr>
      <w:r>
        <w:rPr>
          <w:rFonts w:hint="eastAsia" w:ascii="微软雅黑" w:hAnsi="微软雅黑" w:eastAsia="微软雅黑"/>
          <w:color w:val="000000"/>
        </w:rPr>
        <w:t>5. 投标文件的递交</w:t>
      </w:r>
    </w:p>
    <w:p>
      <w:pPr>
        <w:pStyle w:val="5"/>
        <w:spacing w:before="0" w:beforeAutospacing="0" w:after="0" w:afterAutospacing="0" w:line="480" w:lineRule="atLeast"/>
        <w:ind w:firstLine="480"/>
        <w:rPr>
          <w:rFonts w:ascii="微软雅黑" w:hAnsi="微软雅黑" w:eastAsia="微软雅黑"/>
          <w:b/>
          <w:color w:val="666666"/>
        </w:rPr>
      </w:pPr>
      <w:r>
        <w:rPr>
          <w:rFonts w:hint="eastAsia" w:ascii="微软雅黑" w:hAnsi="微软雅黑" w:eastAsia="微软雅黑"/>
          <w:color w:val="000000"/>
        </w:rPr>
        <w:t>5.1递交投标文件截止时间为</w:t>
      </w:r>
      <w:r>
        <w:rPr>
          <w:rFonts w:hint="eastAsia" w:ascii="微软雅黑" w:hAnsi="微软雅黑" w:eastAsia="微软雅黑"/>
          <w:b/>
          <w:color w:val="000000"/>
          <w:u w:val="single"/>
        </w:rPr>
        <w:t>2020</w:t>
      </w:r>
      <w:r>
        <w:rPr>
          <w:rFonts w:hint="eastAsia" w:ascii="微软雅黑" w:hAnsi="微软雅黑" w:eastAsia="微软雅黑"/>
          <w:b/>
          <w:color w:val="000000"/>
        </w:rPr>
        <w:t>年</w:t>
      </w:r>
      <w:r>
        <w:rPr>
          <w:rFonts w:hint="eastAsia" w:ascii="微软雅黑" w:hAnsi="微软雅黑" w:eastAsia="微软雅黑"/>
          <w:b/>
          <w:color w:val="000000"/>
          <w:u w:val="single"/>
        </w:rPr>
        <w:t>0</w:t>
      </w:r>
      <w:r>
        <w:rPr>
          <w:rFonts w:hint="eastAsia" w:ascii="微软雅黑" w:hAnsi="微软雅黑" w:eastAsia="微软雅黑"/>
          <w:b/>
          <w:color w:val="000000"/>
          <w:u w:val="single"/>
          <w:lang w:val="en-US" w:eastAsia="zh-CN"/>
        </w:rPr>
        <w:t>6</w:t>
      </w:r>
      <w:r>
        <w:rPr>
          <w:rFonts w:hint="eastAsia" w:ascii="微软雅黑" w:hAnsi="微软雅黑" w:eastAsia="微软雅黑"/>
          <w:b/>
          <w:color w:val="000000"/>
        </w:rPr>
        <w:t>月</w:t>
      </w:r>
      <w:r>
        <w:rPr>
          <w:rFonts w:hint="eastAsia" w:ascii="微软雅黑" w:hAnsi="微软雅黑" w:eastAsia="微软雅黑"/>
          <w:b/>
          <w:color w:val="000000"/>
          <w:u w:val="single"/>
        </w:rPr>
        <w:t xml:space="preserve"> </w:t>
      </w:r>
      <w:r>
        <w:rPr>
          <w:rFonts w:hint="eastAsia" w:ascii="微软雅黑" w:hAnsi="微软雅黑" w:eastAsia="微软雅黑"/>
          <w:b/>
          <w:color w:val="000000"/>
          <w:u w:val="single"/>
          <w:lang w:val="en-US" w:eastAsia="zh-CN"/>
        </w:rPr>
        <w:t>09</w:t>
      </w:r>
      <w:r>
        <w:rPr>
          <w:rFonts w:hint="eastAsia" w:ascii="微软雅黑" w:hAnsi="微软雅黑" w:eastAsia="微软雅黑"/>
          <w:b/>
          <w:color w:val="000000"/>
        </w:rPr>
        <w:t>日</w:t>
      </w:r>
      <w:r>
        <w:rPr>
          <w:rFonts w:hint="eastAsia" w:ascii="微软雅黑" w:hAnsi="微软雅黑" w:eastAsia="微软雅黑"/>
          <w:b/>
          <w:color w:val="000000"/>
          <w:u w:val="single"/>
        </w:rPr>
        <w:t>1</w:t>
      </w:r>
      <w:r>
        <w:rPr>
          <w:rFonts w:hint="eastAsia" w:ascii="微软雅黑" w:hAnsi="微软雅黑" w:eastAsia="微软雅黑"/>
          <w:b/>
          <w:color w:val="000000"/>
          <w:u w:val="single"/>
          <w:lang w:val="en-US" w:eastAsia="zh-CN"/>
        </w:rPr>
        <w:t>7</w:t>
      </w:r>
      <w:r>
        <w:rPr>
          <w:rFonts w:hint="eastAsia" w:ascii="微软雅黑" w:hAnsi="微软雅黑" w:eastAsia="微软雅黑"/>
          <w:b/>
          <w:color w:val="000000"/>
        </w:rPr>
        <w:t>时</w:t>
      </w:r>
      <w:r>
        <w:rPr>
          <w:rFonts w:hint="eastAsia" w:ascii="微软雅黑" w:hAnsi="微软雅黑" w:eastAsia="微软雅黑"/>
          <w:b/>
          <w:color w:val="000000"/>
          <w:u w:val="single"/>
        </w:rPr>
        <w:t>00</w:t>
      </w:r>
      <w:r>
        <w:rPr>
          <w:rFonts w:hint="eastAsia" w:ascii="微软雅黑" w:hAnsi="微软雅黑" w:eastAsia="微软雅黑"/>
          <w:b/>
          <w:color w:val="000000"/>
        </w:rPr>
        <w:t>分，</w:t>
      </w:r>
      <w:r>
        <w:rPr>
          <w:rFonts w:hint="eastAsia" w:ascii="微软雅黑" w:hAnsi="微软雅黑" w:eastAsia="微软雅黑"/>
          <w:b/>
          <w:color w:val="000000"/>
          <w:u w:val="single"/>
        </w:rPr>
        <w:t>报价单扫描件发送至专用开标邮箱</w:t>
      </w:r>
      <w:r>
        <w:rPr>
          <w:rFonts w:hint="eastAsia" w:ascii="微软雅黑" w:hAnsi="微软雅黑" w:eastAsia="微软雅黑"/>
          <w:b/>
          <w:color w:val="FF0000"/>
          <w:u w:val="single"/>
        </w:rPr>
        <w:t>jscjzbzy@163.com</w:t>
      </w:r>
      <w:r>
        <w:rPr>
          <w:rFonts w:hint="eastAsia" w:ascii="微软雅黑" w:hAnsi="微软雅黑" w:eastAsia="微软雅黑"/>
          <w:b/>
          <w:color w:val="000000"/>
        </w:rPr>
        <w:t>。</w:t>
      </w:r>
    </w:p>
    <w:p>
      <w:pPr>
        <w:pStyle w:val="5"/>
        <w:spacing w:before="0" w:beforeAutospacing="0" w:after="0" w:afterAutospacing="0" w:line="360" w:lineRule="atLeast"/>
        <w:ind w:firstLine="480"/>
        <w:rPr>
          <w:rFonts w:ascii="微软雅黑" w:hAnsi="微软雅黑" w:eastAsia="微软雅黑"/>
          <w:color w:val="666666"/>
        </w:rPr>
      </w:pPr>
      <w:r>
        <w:rPr>
          <w:rFonts w:hint="eastAsia" w:ascii="微软雅黑" w:hAnsi="微软雅黑" w:eastAsia="微软雅黑"/>
          <w:color w:val="000000"/>
        </w:rPr>
        <w:t>5.2逾期送达或者未送达的投标文件，招标人不予受理。</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6. 发布公告的媒介</w:t>
      </w:r>
    </w:p>
    <w:p>
      <w:pPr>
        <w:pStyle w:val="5"/>
        <w:spacing w:before="0" w:beforeAutospacing="0" w:after="0" w:afterAutospacing="0" w:line="480" w:lineRule="atLeast"/>
        <w:ind w:firstLine="480"/>
        <w:rPr>
          <w:rFonts w:ascii="微软雅黑" w:hAnsi="微软雅黑" w:eastAsia="微软雅黑"/>
          <w:color w:val="000000"/>
        </w:rPr>
      </w:pPr>
      <w:r>
        <w:rPr>
          <w:rFonts w:hint="eastAsia" w:ascii="微软雅黑" w:hAnsi="微软雅黑" w:eastAsia="微软雅黑"/>
          <w:color w:val="000000"/>
        </w:rPr>
        <w:t>本次招标公告同时在江苏煤炭地质局及中煤长江基础建设有限公司官网（发布公告的媒介名称）上发布。网址：http://js.ccgc.cn（信息共享→采购招标）或http://www.jscjgs.cn（新闻资讯→经营动态）</w:t>
      </w:r>
    </w:p>
    <w:p>
      <w:pPr>
        <w:pStyle w:val="5"/>
        <w:spacing w:before="0" w:beforeAutospacing="0" w:after="0" w:afterAutospacing="0" w:line="480" w:lineRule="atLeast"/>
        <w:ind w:firstLine="480"/>
        <w:rPr>
          <w:rFonts w:ascii="微软雅黑" w:hAnsi="微软雅黑" w:eastAsia="微软雅黑"/>
          <w:color w:val="666666"/>
        </w:rPr>
      </w:pPr>
      <w:r>
        <w:rPr>
          <w:rFonts w:hint="eastAsia" w:ascii="微软雅黑" w:hAnsi="微软雅黑" w:eastAsia="微软雅黑"/>
          <w:color w:val="333333"/>
        </w:rPr>
        <w:t>7. 联系方式</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 xml:space="preserve">招标人：中煤长江基础建设有限公司    </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地址：南京市栖霞区尧新大道5号</w:t>
      </w:r>
    </w:p>
    <w:p>
      <w:pPr>
        <w:pStyle w:val="5"/>
        <w:spacing w:before="0" w:beforeAutospacing="0" w:after="0" w:afterAutospacing="0" w:line="360" w:lineRule="atLeast"/>
        <w:ind w:firstLine="480"/>
        <w:rPr>
          <w:rFonts w:ascii="微软雅黑" w:hAnsi="微软雅黑" w:eastAsia="微软雅黑"/>
          <w:color w:val="000000"/>
        </w:rPr>
      </w:pPr>
      <w:r>
        <w:rPr>
          <w:rFonts w:hint="eastAsia" w:ascii="微软雅黑" w:hAnsi="微软雅黑" w:eastAsia="微软雅黑"/>
          <w:color w:val="000000"/>
        </w:rPr>
        <w:t>联系人：王福江13814444436</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 xml:space="preserve">           中煤长江基础建设有限公司</w:t>
      </w:r>
    </w:p>
    <w:p>
      <w:pPr>
        <w:pStyle w:val="5"/>
        <w:spacing w:before="0" w:beforeAutospacing="0" w:after="0" w:afterAutospacing="0" w:line="360" w:lineRule="atLeast"/>
        <w:ind w:firstLine="480"/>
        <w:jc w:val="right"/>
        <w:rPr>
          <w:rFonts w:ascii="微软雅黑" w:hAnsi="微软雅黑" w:eastAsia="微软雅黑"/>
          <w:color w:val="000000"/>
        </w:rPr>
      </w:pPr>
      <w:r>
        <w:rPr>
          <w:rFonts w:hint="eastAsia" w:ascii="微软雅黑" w:hAnsi="微软雅黑" w:eastAsia="微软雅黑"/>
          <w:color w:val="000000"/>
        </w:rPr>
        <w:t>二〇二〇年</w:t>
      </w:r>
      <w:r>
        <w:rPr>
          <w:rFonts w:hint="eastAsia" w:ascii="微软雅黑" w:hAnsi="微软雅黑" w:eastAsia="微软雅黑"/>
          <w:color w:val="000000"/>
          <w:lang w:val="en-US" w:eastAsia="zh-CN"/>
        </w:rPr>
        <w:t>六</w:t>
      </w:r>
      <w:r>
        <w:rPr>
          <w:rFonts w:hint="eastAsia" w:ascii="微软雅黑" w:hAnsi="微软雅黑" w:eastAsia="微软雅黑"/>
          <w:color w:val="000000"/>
        </w:rPr>
        <w:t>月</w:t>
      </w:r>
      <w:r>
        <w:rPr>
          <w:rFonts w:hint="eastAsia" w:ascii="微软雅黑" w:hAnsi="微软雅黑" w:eastAsia="微软雅黑"/>
          <w:color w:val="000000"/>
          <w:lang w:val="en-US" w:eastAsia="zh-CN"/>
        </w:rPr>
        <w:t>五</w:t>
      </w:r>
      <w:r>
        <w:rPr>
          <w:rFonts w:hint="eastAsia" w:ascii="微软雅黑" w:hAnsi="微软雅黑" w:eastAsia="微软雅黑"/>
          <w:color w:val="000000"/>
        </w:rPr>
        <w:t>日</w:t>
      </w: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000000"/>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ind w:firstLine="480"/>
        <w:jc w:val="right"/>
        <w:rPr>
          <w:rFonts w:ascii="微软雅黑" w:hAnsi="微软雅黑" w:eastAsia="微软雅黑"/>
          <w:color w:val="666666"/>
        </w:rPr>
      </w:pPr>
    </w:p>
    <w:p>
      <w:pPr>
        <w:pStyle w:val="5"/>
        <w:spacing w:before="0" w:beforeAutospacing="0" w:after="0" w:afterAutospacing="0" w:line="360" w:lineRule="atLeast"/>
        <w:jc w:val="center"/>
        <w:rPr>
          <w:rFonts w:ascii="微软雅黑" w:hAnsi="微软雅黑" w:eastAsia="微软雅黑"/>
          <w:color w:val="000000"/>
        </w:rPr>
      </w:pPr>
      <w:r>
        <w:rPr>
          <w:rFonts w:hint="eastAsia" w:ascii="微软雅黑" w:hAnsi="微软雅黑" w:eastAsia="微软雅黑"/>
          <w:color w:val="000000"/>
        </w:rPr>
        <w:t>报价单</w:t>
      </w:r>
    </w:p>
    <w:p>
      <w:pPr>
        <w:pStyle w:val="5"/>
        <w:spacing w:before="0" w:beforeAutospacing="0" w:after="0" w:afterAutospacing="0" w:line="360" w:lineRule="atLeast"/>
        <w:rPr>
          <w:rFonts w:hint="eastAsia" w:ascii="微软雅黑" w:hAnsi="微软雅黑" w:eastAsia="微软雅黑"/>
          <w:color w:val="000000"/>
        </w:rPr>
      </w:pPr>
      <w:r>
        <w:rPr>
          <w:rFonts w:hint="eastAsia" w:ascii="微软雅黑" w:hAnsi="微软雅黑" w:eastAsia="微软雅黑"/>
          <w:color w:val="000000"/>
        </w:rPr>
        <w:t>工程名称：徐州恒大潘安湖生态小镇中小学项目工程桩工程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10"/>
        <w:gridCol w:w="950"/>
        <w:gridCol w:w="2214"/>
        <w:gridCol w:w="951"/>
        <w:gridCol w:w="1253"/>
        <w:gridCol w:w="115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序号</w:t>
            </w:r>
          </w:p>
        </w:tc>
        <w:tc>
          <w:tcPr>
            <w:tcW w:w="95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材料名称</w:t>
            </w:r>
          </w:p>
        </w:tc>
        <w:tc>
          <w:tcPr>
            <w:tcW w:w="2214"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型号</w:t>
            </w:r>
          </w:p>
        </w:tc>
        <w:tc>
          <w:tcPr>
            <w:tcW w:w="951"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暂定量（米）</w:t>
            </w:r>
          </w:p>
        </w:tc>
        <w:tc>
          <w:tcPr>
            <w:tcW w:w="1253"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执行标准</w:t>
            </w:r>
          </w:p>
        </w:tc>
        <w:tc>
          <w:tcPr>
            <w:tcW w:w="1152"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含税单价（元/米）</w:t>
            </w:r>
          </w:p>
        </w:tc>
        <w:tc>
          <w:tcPr>
            <w:tcW w:w="1132"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预制桩</w:t>
            </w:r>
          </w:p>
        </w:tc>
        <w:tc>
          <w:tcPr>
            <w:tcW w:w="2214" w:type="dxa"/>
            <w:vAlign w:val="center"/>
          </w:tcPr>
          <w:p>
            <w:pPr>
              <w:pStyle w:val="5"/>
              <w:spacing w:before="0" w:beforeAutospacing="0" w:after="0" w:afterAutospacing="0" w:line="360" w:lineRule="atLeast"/>
              <w:rPr>
                <w:rFonts w:hint="default" w:ascii="微软雅黑" w:hAnsi="微软雅黑" w:eastAsia="微软雅黑"/>
                <w:color w:val="000000"/>
                <w:sz w:val="21"/>
                <w:szCs w:val="21"/>
                <w:lang w:val="en-US" w:eastAsia="zh-CN"/>
              </w:rPr>
            </w:pPr>
            <w:r>
              <w:rPr>
                <w:rFonts w:hint="eastAsia" w:ascii="微软雅黑" w:hAnsi="微软雅黑" w:eastAsia="微软雅黑"/>
                <w:color w:val="000000"/>
                <w:lang w:val="en-US" w:eastAsia="zh-CN"/>
              </w:rPr>
              <w:t>YRS-35 B-11</w:t>
            </w:r>
          </w:p>
        </w:tc>
        <w:tc>
          <w:tcPr>
            <w:tcW w:w="951" w:type="dxa"/>
            <w:vAlign w:val="center"/>
          </w:tcPr>
          <w:p>
            <w:pPr>
              <w:pStyle w:val="5"/>
              <w:spacing w:before="0" w:beforeAutospacing="0" w:after="0" w:afterAutospacing="0" w:line="360" w:lineRule="atLeast"/>
              <w:jc w:val="center"/>
              <w:rPr>
                <w:rFonts w:hint="default"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8000</w:t>
            </w:r>
          </w:p>
        </w:tc>
        <w:tc>
          <w:tcPr>
            <w:tcW w:w="1253" w:type="dxa"/>
            <w:vAlign w:val="center"/>
          </w:tcPr>
          <w:p>
            <w:pPr>
              <w:pStyle w:val="5"/>
              <w:spacing w:before="0" w:beforeAutospacing="0" w:after="0" w:afterAutospacing="0" w:line="240" w:lineRule="exact"/>
              <w:jc w:val="center"/>
              <w:rPr>
                <w:rFonts w:hint="default"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建华企标（或不低于此标）</w:t>
            </w: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Merge w:val="restart"/>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p>
        </w:tc>
        <w:tc>
          <w:tcPr>
            <w:tcW w:w="950" w:type="dxa"/>
            <w:vAlign w:val="center"/>
          </w:tcPr>
          <w:p>
            <w:pPr>
              <w:pStyle w:val="5"/>
              <w:spacing w:before="0" w:beforeAutospacing="0" w:after="0" w:afterAutospacing="0" w:line="360" w:lineRule="atLeast"/>
              <w:jc w:val="center"/>
              <w:rPr>
                <w:color w:val="000000"/>
                <w:sz w:val="21"/>
                <w:szCs w:val="21"/>
              </w:rPr>
            </w:pPr>
          </w:p>
        </w:tc>
        <w:tc>
          <w:tcPr>
            <w:tcW w:w="2214" w:type="dxa"/>
            <w:vAlign w:val="center"/>
          </w:tcPr>
          <w:p>
            <w:pPr>
              <w:pStyle w:val="5"/>
              <w:spacing w:before="0" w:beforeAutospacing="0" w:after="0" w:afterAutospacing="0" w:line="360" w:lineRule="atLeast"/>
              <w:rPr>
                <w:rFonts w:ascii="微软雅黑" w:hAnsi="微软雅黑" w:eastAsia="微软雅黑"/>
                <w:color w:val="000000"/>
                <w:sz w:val="21"/>
                <w:szCs w:val="21"/>
              </w:rPr>
            </w:pPr>
          </w:p>
        </w:tc>
        <w:tc>
          <w:tcPr>
            <w:tcW w:w="951" w:type="dxa"/>
            <w:vAlign w:val="center"/>
          </w:tcPr>
          <w:p>
            <w:pPr>
              <w:pStyle w:val="5"/>
              <w:spacing w:before="0" w:beforeAutospacing="0" w:after="0" w:afterAutospacing="0" w:line="360" w:lineRule="atLeast"/>
              <w:jc w:val="center"/>
              <w:rPr>
                <w:rFonts w:ascii="微软雅黑" w:hAnsi="微软雅黑" w:eastAsia="微软雅黑"/>
                <w:color w:val="000000"/>
                <w:sz w:val="21"/>
                <w:szCs w:val="21"/>
              </w:rPr>
            </w:pPr>
          </w:p>
        </w:tc>
        <w:tc>
          <w:tcPr>
            <w:tcW w:w="1253" w:type="dxa"/>
            <w:vAlign w:val="center"/>
          </w:tcPr>
          <w:p>
            <w:pPr>
              <w:pStyle w:val="5"/>
              <w:spacing w:before="0" w:beforeAutospacing="0" w:after="0" w:afterAutospacing="0" w:line="360" w:lineRule="atLeast"/>
              <w:jc w:val="center"/>
              <w:rPr>
                <w:rFonts w:ascii="微软雅黑" w:hAnsi="微软雅黑" w:eastAsia="微软雅黑"/>
                <w:color w:val="000000"/>
                <w:sz w:val="21"/>
                <w:szCs w:val="21"/>
              </w:rPr>
            </w:pP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Merge w:val="continue"/>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p>
        </w:tc>
        <w:tc>
          <w:tcPr>
            <w:tcW w:w="950" w:type="dxa"/>
            <w:vAlign w:val="center"/>
          </w:tcPr>
          <w:p>
            <w:pPr>
              <w:pStyle w:val="5"/>
              <w:spacing w:before="0" w:beforeAutospacing="0" w:after="0" w:afterAutospacing="0" w:line="360" w:lineRule="atLeast"/>
              <w:jc w:val="center"/>
              <w:rPr>
                <w:color w:val="000000"/>
                <w:sz w:val="21"/>
                <w:szCs w:val="21"/>
              </w:rPr>
            </w:pPr>
          </w:p>
        </w:tc>
        <w:tc>
          <w:tcPr>
            <w:tcW w:w="2214" w:type="dxa"/>
            <w:vAlign w:val="center"/>
          </w:tcPr>
          <w:p>
            <w:pPr>
              <w:pStyle w:val="5"/>
              <w:spacing w:before="0" w:beforeAutospacing="0" w:after="0" w:afterAutospacing="0" w:line="360" w:lineRule="atLeast"/>
              <w:jc w:val="center"/>
              <w:rPr>
                <w:color w:val="000000"/>
                <w:sz w:val="21"/>
                <w:szCs w:val="21"/>
              </w:rPr>
            </w:pPr>
          </w:p>
        </w:tc>
        <w:tc>
          <w:tcPr>
            <w:tcW w:w="951" w:type="dxa"/>
            <w:vAlign w:val="center"/>
          </w:tcPr>
          <w:p>
            <w:pPr>
              <w:pStyle w:val="5"/>
              <w:spacing w:before="0" w:beforeAutospacing="0" w:after="0" w:afterAutospacing="0" w:line="360" w:lineRule="atLeast"/>
              <w:jc w:val="center"/>
              <w:rPr>
                <w:color w:val="000000"/>
                <w:sz w:val="21"/>
                <w:szCs w:val="21"/>
              </w:rPr>
            </w:pPr>
          </w:p>
        </w:tc>
        <w:tc>
          <w:tcPr>
            <w:tcW w:w="1253" w:type="dxa"/>
            <w:vAlign w:val="center"/>
          </w:tcPr>
          <w:p>
            <w:pPr>
              <w:pStyle w:val="5"/>
              <w:spacing w:before="0" w:beforeAutospacing="0" w:after="0" w:afterAutospacing="0" w:line="360" w:lineRule="atLeast"/>
              <w:jc w:val="center"/>
              <w:rPr>
                <w:color w:val="000000"/>
                <w:sz w:val="21"/>
                <w:szCs w:val="21"/>
              </w:rPr>
            </w:pP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p>
        </w:tc>
        <w:tc>
          <w:tcPr>
            <w:tcW w:w="950" w:type="dxa"/>
            <w:vAlign w:val="center"/>
          </w:tcPr>
          <w:p>
            <w:pPr>
              <w:pStyle w:val="5"/>
              <w:spacing w:before="0" w:beforeAutospacing="0" w:after="0" w:afterAutospacing="0" w:line="360" w:lineRule="atLeast"/>
              <w:jc w:val="center"/>
              <w:rPr>
                <w:color w:val="000000"/>
                <w:sz w:val="21"/>
                <w:szCs w:val="21"/>
              </w:rPr>
            </w:pPr>
          </w:p>
        </w:tc>
        <w:tc>
          <w:tcPr>
            <w:tcW w:w="2214" w:type="dxa"/>
            <w:vAlign w:val="center"/>
          </w:tcPr>
          <w:p>
            <w:pPr>
              <w:pStyle w:val="5"/>
              <w:spacing w:before="0" w:beforeAutospacing="0" w:after="0" w:afterAutospacing="0" w:line="360" w:lineRule="atLeast"/>
              <w:jc w:val="center"/>
              <w:rPr>
                <w:color w:val="000000"/>
                <w:sz w:val="21"/>
                <w:szCs w:val="21"/>
              </w:rPr>
            </w:pPr>
          </w:p>
        </w:tc>
        <w:tc>
          <w:tcPr>
            <w:tcW w:w="951" w:type="dxa"/>
            <w:vAlign w:val="center"/>
          </w:tcPr>
          <w:p>
            <w:pPr>
              <w:pStyle w:val="5"/>
              <w:spacing w:before="0" w:beforeAutospacing="0" w:after="0" w:afterAutospacing="0" w:line="360" w:lineRule="atLeast"/>
              <w:jc w:val="center"/>
              <w:rPr>
                <w:color w:val="000000"/>
                <w:sz w:val="21"/>
                <w:szCs w:val="21"/>
              </w:rPr>
            </w:pPr>
          </w:p>
        </w:tc>
        <w:tc>
          <w:tcPr>
            <w:tcW w:w="1253" w:type="dxa"/>
            <w:vAlign w:val="center"/>
          </w:tcPr>
          <w:p>
            <w:pPr>
              <w:pStyle w:val="5"/>
              <w:spacing w:before="0" w:beforeAutospacing="0" w:after="0" w:afterAutospacing="0" w:line="360" w:lineRule="atLeast"/>
              <w:jc w:val="center"/>
              <w:rPr>
                <w:color w:val="000000"/>
                <w:sz w:val="21"/>
                <w:szCs w:val="21"/>
              </w:rPr>
            </w:pPr>
          </w:p>
        </w:tc>
        <w:tc>
          <w:tcPr>
            <w:tcW w:w="1152" w:type="dxa"/>
            <w:vAlign w:val="center"/>
          </w:tcPr>
          <w:p>
            <w:pPr>
              <w:pStyle w:val="5"/>
              <w:spacing w:before="0" w:beforeAutospacing="0" w:after="0" w:afterAutospacing="0" w:line="360" w:lineRule="atLeast"/>
              <w:jc w:val="center"/>
              <w:rPr>
                <w:color w:val="000000"/>
                <w:sz w:val="21"/>
                <w:szCs w:val="21"/>
              </w:rPr>
            </w:pPr>
          </w:p>
        </w:tc>
        <w:tc>
          <w:tcPr>
            <w:tcW w:w="1132" w:type="dxa"/>
            <w:vAlign w:val="center"/>
          </w:tcPr>
          <w:p>
            <w:pPr>
              <w:pStyle w:val="5"/>
              <w:spacing w:before="0" w:beforeAutospacing="0" w:after="0" w:afterAutospacing="0" w:line="360" w:lineRule="atLeas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0" w:type="dxa"/>
            <w:vAlign w:val="center"/>
          </w:tcPr>
          <w:p>
            <w:pPr>
              <w:pStyle w:val="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pPr>
              <w:pStyle w:val="5"/>
              <w:spacing w:before="0" w:beforeAutospacing="0" w:after="0" w:afterAutospacing="0" w:line="360" w:lineRule="atLeast"/>
              <w:rPr>
                <w:color w:val="000000"/>
                <w:sz w:val="21"/>
                <w:szCs w:val="21"/>
              </w:rPr>
            </w:pPr>
            <w:r>
              <w:rPr>
                <w:rFonts w:hint="eastAsia"/>
                <w:color w:val="000000"/>
                <w:sz w:val="21"/>
                <w:szCs w:val="21"/>
              </w:rPr>
              <w:t>1、付款方式</w:t>
            </w:r>
            <w:bookmarkStart w:id="0" w:name="_GoBack"/>
            <w:bookmarkEnd w:id="0"/>
            <w:r>
              <w:rPr>
                <w:rFonts w:hint="eastAsia"/>
                <w:color w:val="000000"/>
                <w:sz w:val="21"/>
                <w:szCs w:val="21"/>
              </w:rPr>
              <w:t xml:space="preserve">                                                                                                       ①付款方式为网银转账或银行承兑，银承不贴息，暂定先款后货。                                                                                                                    ②</w:t>
            </w:r>
            <w:r>
              <w:rPr>
                <w:rFonts w:hint="eastAsia"/>
                <w:color w:val="000000"/>
                <w:sz w:val="21"/>
                <w:szCs w:val="21"/>
                <w:u w:val="single"/>
              </w:rPr>
              <w:t xml:space="preserve">                                                                  </w:t>
            </w:r>
            <w:r>
              <w:rPr>
                <w:rFonts w:hint="eastAsia"/>
                <w:color w:val="000000"/>
                <w:sz w:val="21"/>
                <w:szCs w:val="21"/>
              </w:rPr>
              <w:t xml:space="preserve">                                                                                                      ③</w:t>
            </w:r>
            <w:r>
              <w:rPr>
                <w:rFonts w:hint="eastAsia"/>
                <w:color w:val="000000"/>
                <w:sz w:val="21"/>
                <w:szCs w:val="21"/>
                <w:u w:val="single"/>
              </w:rPr>
              <w:t xml:space="preserve">                                                                 </w:t>
            </w:r>
            <w:r>
              <w:rPr>
                <w:rFonts w:hint="eastAsia"/>
                <w:color w:val="000000"/>
                <w:sz w:val="21"/>
                <w:szCs w:val="21"/>
              </w:rPr>
              <w:t xml:space="preserve">                                                                                                  2、上述单价含材料费、运卸费、发票（增值税专用发票、一票制）等；                                                                        3、乙方须确保供货的及时性，同时甲方不承诺由乙方独家供货，甲方可根据现场情况选择其他厂家供货；                                       </w:t>
            </w:r>
          </w:p>
          <w:p>
            <w:pPr>
              <w:pStyle w:val="5"/>
              <w:spacing w:before="0" w:beforeAutospacing="0" w:after="0" w:afterAutospacing="0" w:line="360" w:lineRule="atLeast"/>
              <w:rPr>
                <w:color w:val="000000"/>
                <w:sz w:val="21"/>
                <w:szCs w:val="21"/>
              </w:rPr>
            </w:pPr>
            <w:r>
              <w:rPr>
                <w:rFonts w:hint="eastAsia"/>
                <w:color w:val="000000"/>
                <w:sz w:val="21"/>
                <w:szCs w:val="21"/>
              </w:rPr>
              <w:t>4、乙方承诺所供应的材料必须合格且符合国家规范要求；                                                                         5、</w:t>
            </w:r>
            <w:r>
              <w:rPr>
                <w:rFonts w:hint="eastAsia"/>
                <w:b/>
                <w:color w:val="FF0000"/>
              </w:rPr>
              <w:t>本报价表必须在2020年0</w:t>
            </w:r>
            <w:r>
              <w:rPr>
                <w:rFonts w:hint="eastAsia"/>
                <w:b/>
                <w:color w:val="FF0000"/>
                <w:lang w:val="en-US" w:eastAsia="zh-CN"/>
              </w:rPr>
              <w:t>6</w:t>
            </w:r>
            <w:r>
              <w:rPr>
                <w:rFonts w:hint="eastAsia"/>
                <w:b/>
                <w:color w:val="FF0000"/>
              </w:rPr>
              <w:t>月</w:t>
            </w:r>
            <w:r>
              <w:rPr>
                <w:rFonts w:hint="eastAsia"/>
                <w:b/>
                <w:color w:val="FF0000"/>
                <w:lang w:val="en-US" w:eastAsia="zh-CN"/>
              </w:rPr>
              <w:t>09</w:t>
            </w:r>
            <w:r>
              <w:rPr>
                <w:rFonts w:hint="eastAsia"/>
                <w:b/>
                <w:color w:val="FF0000"/>
              </w:rPr>
              <w:t>日1</w:t>
            </w:r>
            <w:r>
              <w:rPr>
                <w:rFonts w:hint="eastAsia"/>
                <w:b/>
                <w:color w:val="FF0000"/>
                <w:lang w:val="en-US" w:eastAsia="zh-CN"/>
              </w:rPr>
              <w:t>7</w:t>
            </w:r>
            <w:r>
              <w:rPr>
                <w:rFonts w:hint="eastAsia"/>
                <w:b/>
                <w:color w:val="FF0000"/>
              </w:rPr>
              <w:t>点前盖章扫描发至邮箱jscjzbzy@163.com（逾期视为未投标），联系人：王福江，电话：13814444436。</w:t>
            </w:r>
          </w:p>
        </w:tc>
      </w:tr>
    </w:tbl>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 xml:space="preserve">报价联系人：                        电话：              </w:t>
      </w:r>
    </w:p>
    <w:p>
      <w:pPr>
        <w:pStyle w:val="5"/>
        <w:spacing w:before="0" w:beforeAutospacing="0" w:after="0" w:afterAutospacing="0" w:line="360" w:lineRule="atLeast"/>
        <w:rPr>
          <w:rFonts w:ascii="微软雅黑" w:hAnsi="微软雅黑" w:eastAsia="微软雅黑"/>
          <w:color w:val="000000"/>
        </w:rPr>
      </w:pPr>
    </w:p>
    <w:p>
      <w:pPr>
        <w:pStyle w:val="5"/>
        <w:spacing w:before="0" w:beforeAutospacing="0" w:after="0" w:afterAutospacing="0" w:line="360" w:lineRule="atLeast"/>
        <w:rPr>
          <w:rFonts w:ascii="微软雅黑" w:hAnsi="微软雅黑" w:eastAsia="微软雅黑"/>
          <w:color w:val="000000"/>
        </w:rPr>
      </w:pPr>
      <w:r>
        <w:rPr>
          <w:rFonts w:hint="eastAsia" w:ascii="微软雅黑" w:hAnsi="微软雅黑" w:eastAsia="微软雅黑"/>
          <w:color w:val="000000"/>
        </w:rPr>
        <w:t>报价人（章）：                      日期：</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1F6F2D"/>
    <w:rsid w:val="002175BB"/>
    <w:rsid w:val="00260AB8"/>
    <w:rsid w:val="002956F1"/>
    <w:rsid w:val="00296081"/>
    <w:rsid w:val="002A3998"/>
    <w:rsid w:val="002E3633"/>
    <w:rsid w:val="00325A04"/>
    <w:rsid w:val="00343611"/>
    <w:rsid w:val="003B503D"/>
    <w:rsid w:val="00427C5D"/>
    <w:rsid w:val="004320F2"/>
    <w:rsid w:val="00445B3C"/>
    <w:rsid w:val="0048461A"/>
    <w:rsid w:val="004B3B38"/>
    <w:rsid w:val="004B588D"/>
    <w:rsid w:val="004E6A42"/>
    <w:rsid w:val="004F5376"/>
    <w:rsid w:val="004F6126"/>
    <w:rsid w:val="0050401E"/>
    <w:rsid w:val="00506CA8"/>
    <w:rsid w:val="005215BC"/>
    <w:rsid w:val="005339A5"/>
    <w:rsid w:val="005374C7"/>
    <w:rsid w:val="005924D1"/>
    <w:rsid w:val="00592589"/>
    <w:rsid w:val="006012BD"/>
    <w:rsid w:val="00612819"/>
    <w:rsid w:val="006811FC"/>
    <w:rsid w:val="007973A9"/>
    <w:rsid w:val="007E18AE"/>
    <w:rsid w:val="0081592A"/>
    <w:rsid w:val="008574E9"/>
    <w:rsid w:val="008821C4"/>
    <w:rsid w:val="008C4BF7"/>
    <w:rsid w:val="00947C44"/>
    <w:rsid w:val="009A63EB"/>
    <w:rsid w:val="009B702D"/>
    <w:rsid w:val="009D1350"/>
    <w:rsid w:val="00A436E4"/>
    <w:rsid w:val="00A572A3"/>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5408A"/>
    <w:rsid w:val="00E5511E"/>
    <w:rsid w:val="00EA1D0B"/>
    <w:rsid w:val="00EA562F"/>
    <w:rsid w:val="00EF3B85"/>
    <w:rsid w:val="00FC4C79"/>
    <w:rsid w:val="00FC6E31"/>
    <w:rsid w:val="00FF1647"/>
    <w:rsid w:val="0AF40F2D"/>
    <w:rsid w:val="4739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308</Words>
  <Characters>1759</Characters>
  <Lines>14</Lines>
  <Paragraphs>4</Paragraphs>
  <TotalTime>113</TotalTime>
  <ScaleCrop>false</ScaleCrop>
  <LinksUpToDate>false</LinksUpToDate>
  <CharactersWithSpaces>2063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2019-03-20T09:13:00Z</dcterms:created>
  <dc:creator>Administrator</dc:creator>
  <cp:lastModifiedBy>王福江13814444436</cp:lastModifiedBy>
  <dcterms:modified xsi:type="dcterms:W3CDTF">2020-06-05T03:57:42Z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