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rPr>
        <w:t>中煤长江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eastAsia="zh-CN"/>
        </w:rPr>
        <w:t>中央储备粮岳阳直属库有限公司中心库仓储项目（桩基施工）项目</w:t>
      </w:r>
    </w:p>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钢筋笼制作</w:t>
      </w:r>
      <w:r>
        <w:rPr>
          <w:rFonts w:hint="eastAsia" w:ascii="仿宋" w:hAnsi="仿宋" w:eastAsia="仿宋" w:cs="仿宋"/>
          <w:sz w:val="48"/>
          <w:szCs w:val="48"/>
          <w:lang w:eastAsia="zh-CN"/>
        </w:rPr>
        <w:t xml:space="preserve">劳务分包采购     </w:t>
      </w:r>
    </w:p>
    <w:p>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pPr>
        <w:pStyle w:val="4"/>
        <w:rPr>
          <w:rFonts w:hint="eastAsia" w:ascii="仿宋" w:hAnsi="仿宋" w:eastAsia="仿宋" w:cs="仿宋"/>
        </w:rPr>
      </w:pPr>
    </w:p>
    <w:p>
      <w:pPr>
        <w:pStyle w:val="4"/>
        <w:rPr>
          <w:rFonts w:hint="eastAsia" w:ascii="仿宋" w:hAnsi="仿宋" w:eastAsia="仿宋" w:cs="仿宋"/>
        </w:rPr>
      </w:pPr>
    </w:p>
    <w:p>
      <w:pPr>
        <w:jc w:val="center"/>
        <w:rPr>
          <w:rFonts w:hint="eastAsia" w:ascii="仿宋" w:hAnsi="仿宋" w:eastAsia="仿宋" w:cs="仿宋"/>
          <w:bCs/>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Cs/>
          <w:sz w:val="32"/>
          <w:szCs w:val="32"/>
        </w:rPr>
        <w:t>ZMCJ</w:t>
      </w:r>
      <w:r>
        <w:rPr>
          <w:rFonts w:hint="eastAsia" w:ascii="仿宋" w:hAnsi="仿宋" w:eastAsia="仿宋" w:cs="仿宋"/>
          <w:bCs/>
          <w:sz w:val="32"/>
          <w:szCs w:val="32"/>
          <w:lang w:eastAsia="zh-CN"/>
        </w:rPr>
        <w:t>JC</w:t>
      </w:r>
      <w:r>
        <w:rPr>
          <w:rFonts w:hint="eastAsia" w:ascii="仿宋" w:hAnsi="仿宋" w:eastAsia="仿宋" w:cs="仿宋"/>
          <w:bCs/>
          <w:sz w:val="32"/>
          <w:szCs w:val="32"/>
        </w:rPr>
        <w:t>-</w:t>
      </w:r>
      <w:r>
        <w:rPr>
          <w:rFonts w:hint="eastAsia" w:ascii="仿宋" w:hAnsi="仿宋" w:eastAsia="仿宋" w:cs="仿宋"/>
          <w:bCs/>
          <w:sz w:val="32"/>
          <w:szCs w:val="32"/>
          <w:lang w:eastAsia="zh-CN"/>
        </w:rPr>
        <w:t>FC</w:t>
      </w:r>
      <w:r>
        <w:rPr>
          <w:rFonts w:hint="eastAsia" w:ascii="仿宋" w:hAnsi="仿宋" w:eastAsia="仿宋" w:cs="仿宋"/>
          <w:bCs/>
          <w:sz w:val="32"/>
          <w:szCs w:val="32"/>
        </w:rPr>
        <w:t>-2023</w:t>
      </w:r>
      <w:r>
        <w:rPr>
          <w:rFonts w:hint="eastAsia" w:ascii="仿宋" w:hAnsi="仿宋" w:eastAsia="仿宋" w:cs="仿宋"/>
          <w:bCs/>
          <w:sz w:val="32"/>
          <w:szCs w:val="32"/>
          <w:lang w:eastAsia="zh-CN"/>
        </w:rPr>
        <w:t>-ZJ-00</w:t>
      </w:r>
      <w:r>
        <w:rPr>
          <w:rFonts w:hint="eastAsia" w:ascii="仿宋" w:hAnsi="仿宋" w:eastAsia="仿宋" w:cs="仿宋"/>
          <w:bCs/>
          <w:sz w:val="32"/>
          <w:szCs w:val="32"/>
          <w:lang w:val="en-US" w:eastAsia="zh-CN"/>
        </w:rPr>
        <w:t>2</w:t>
      </w:r>
    </w:p>
    <w:p>
      <w:pPr>
        <w:pStyle w:val="5"/>
        <w:ind w:firstLine="640" w:firstLineChars="200"/>
        <w:rPr>
          <w:rFonts w:hint="eastAsia" w:ascii="仿宋" w:hAnsi="仿宋" w:eastAsia="仿宋" w:cs="仿宋"/>
          <w:color w:val="auto"/>
          <w:sz w:val="32"/>
          <w:szCs w:val="32"/>
          <w:lang w:eastAsia="zh-CN"/>
        </w:rPr>
      </w:pPr>
    </w:p>
    <w:p>
      <w:pPr>
        <w:pStyle w:val="5"/>
        <w:ind w:firstLine="640" w:firstLineChars="200"/>
        <w:rPr>
          <w:rFonts w:hint="eastAsia" w:ascii="仿宋" w:hAnsi="仿宋" w:eastAsia="仿宋" w:cs="仿宋"/>
          <w:color w:val="auto"/>
          <w:sz w:val="32"/>
          <w:szCs w:val="32"/>
        </w:rPr>
      </w:pPr>
    </w:p>
    <w:p>
      <w:pPr>
        <w:pStyle w:val="5"/>
        <w:ind w:firstLine="640" w:firstLineChars="200"/>
        <w:rPr>
          <w:rFonts w:hint="eastAsia" w:ascii="仿宋" w:hAnsi="仿宋" w:eastAsia="仿宋" w:cs="仿宋"/>
          <w:color w:val="auto"/>
          <w:sz w:val="32"/>
          <w:szCs w:val="32"/>
        </w:rPr>
      </w:pPr>
    </w:p>
    <w:p>
      <w:pPr>
        <w:pStyle w:val="5"/>
        <w:ind w:firstLine="640" w:firstLineChars="200"/>
        <w:rPr>
          <w:rFonts w:hint="eastAsia" w:ascii="仿宋" w:hAnsi="仿宋" w:eastAsia="仿宋" w:cs="仿宋"/>
          <w:color w:val="auto"/>
          <w:sz w:val="32"/>
          <w:szCs w:val="32"/>
        </w:rPr>
      </w:pPr>
    </w:p>
    <w:p>
      <w:pPr>
        <w:pStyle w:val="5"/>
        <w:ind w:firstLine="640" w:firstLineChars="200"/>
        <w:rPr>
          <w:rFonts w:hint="eastAsia" w:ascii="仿宋" w:hAnsi="仿宋" w:eastAsia="仿宋" w:cs="仿宋"/>
          <w:color w:val="auto"/>
          <w:sz w:val="32"/>
          <w:szCs w:val="32"/>
        </w:rPr>
      </w:pPr>
    </w:p>
    <w:p>
      <w:pPr>
        <w:pStyle w:val="5"/>
        <w:ind w:firstLine="640" w:firstLineChars="200"/>
        <w:rPr>
          <w:rFonts w:hint="eastAsia" w:ascii="仿宋" w:hAnsi="仿宋" w:eastAsia="仿宋" w:cs="仿宋"/>
          <w:color w:val="auto"/>
          <w:sz w:val="32"/>
          <w:szCs w:val="32"/>
        </w:rPr>
      </w:pPr>
    </w:p>
    <w:p>
      <w:pPr>
        <w:pStyle w:val="5"/>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投标单位：</w:t>
      </w:r>
    </w:p>
    <w:p>
      <w:pPr>
        <w:pStyle w:val="5"/>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pPr>
        <w:pStyle w:val="4"/>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5"/>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p>
    <w:p>
      <w:pPr>
        <w:spacing w:line="400" w:lineRule="exact"/>
        <w:jc w:val="center"/>
        <w:rPr>
          <w:rFonts w:hint="eastAsia" w:ascii="仿宋" w:hAnsi="仿宋" w:eastAsia="仿宋" w:cs="仿宋"/>
          <w:b/>
          <w:bCs/>
          <w:sz w:val="36"/>
        </w:rPr>
      </w:pPr>
    </w:p>
    <w:p>
      <w:pPr>
        <w:spacing w:line="400" w:lineRule="exact"/>
        <w:jc w:val="center"/>
        <w:rPr>
          <w:rFonts w:hint="eastAsia" w:ascii="仿宋" w:hAnsi="仿宋" w:eastAsia="仿宋" w:cs="仿宋"/>
          <w:b/>
          <w:bCs/>
          <w:sz w:val="36"/>
        </w:rPr>
      </w:pPr>
    </w:p>
    <w:p>
      <w:pPr>
        <w:spacing w:line="400" w:lineRule="exact"/>
        <w:jc w:val="center"/>
        <w:rPr>
          <w:rFonts w:hint="eastAsia" w:ascii="仿宋" w:hAnsi="仿宋" w:eastAsia="仿宋" w:cs="仿宋"/>
          <w:b/>
          <w:bCs/>
          <w:sz w:val="36"/>
        </w:rPr>
      </w:pPr>
    </w:p>
    <w:p>
      <w:pPr>
        <w:spacing w:line="400" w:lineRule="exact"/>
        <w:jc w:val="center"/>
        <w:rPr>
          <w:rFonts w:hint="eastAsia" w:ascii="仿宋" w:hAnsi="仿宋" w:eastAsia="仿宋" w:cs="仿宋"/>
          <w:b/>
          <w:bCs/>
          <w:sz w:val="36"/>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b/>
          <w:bCs/>
          <w:spacing w:val="2"/>
          <w:sz w:val="32"/>
          <w:szCs w:val="32"/>
        </w:rPr>
      </w:pPr>
    </w:p>
    <w:p>
      <w:pPr>
        <w:spacing w:line="360" w:lineRule="auto"/>
        <w:jc w:val="center"/>
        <w:rPr>
          <w:rFonts w:hint="eastAsia" w:ascii="仿宋" w:hAnsi="仿宋" w:eastAsia="仿宋" w:cs="仿宋"/>
          <w:b/>
          <w:bCs/>
          <w:spacing w:val="2"/>
          <w:sz w:val="32"/>
          <w:szCs w:val="32"/>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b/>
          <w:bCs/>
          <w:sz w:val="32"/>
          <w:szCs w:val="32"/>
        </w:rPr>
      </w:pPr>
    </w:p>
    <w:p>
      <w:pPr>
        <w:spacing w:line="560" w:lineRule="exact"/>
        <w:jc w:val="both"/>
        <w:rPr>
          <w:rFonts w:hint="eastAsia" w:ascii="仿宋" w:hAnsi="仿宋" w:eastAsia="仿宋" w:cs="仿宋"/>
          <w:b/>
          <w:bCs/>
          <w:sz w:val="32"/>
          <w:szCs w:val="32"/>
        </w:rPr>
      </w:pPr>
    </w:p>
    <w:p>
      <w:pPr>
        <w:spacing w:line="560" w:lineRule="exact"/>
        <w:jc w:val="center"/>
        <w:rPr>
          <w:rFonts w:hint="eastAsia" w:ascii="仿宋" w:hAnsi="仿宋" w:eastAsia="仿宋" w:cs="仿宋"/>
          <w:b/>
          <w:bCs/>
          <w:sz w:val="32"/>
          <w:szCs w:val="32"/>
        </w:rPr>
      </w:pPr>
    </w:p>
    <w:p>
      <w:pPr>
        <w:spacing w:line="560" w:lineRule="exact"/>
        <w:jc w:val="center"/>
        <w:rPr>
          <w:rFonts w:hint="eastAsia" w:ascii="仿宋" w:hAnsi="仿宋" w:eastAsia="仿宋" w:cs="仿宋"/>
          <w:b/>
          <w:bCs/>
          <w:sz w:val="32"/>
          <w:szCs w:val="32"/>
          <w:lang w:eastAsia="zh-CN"/>
        </w:rPr>
      </w:pPr>
      <w:r>
        <w:rPr>
          <w:rFonts w:hint="eastAsia" w:ascii="仿宋" w:hAnsi="仿宋" w:eastAsia="仿宋" w:cs="仿宋"/>
          <w:b/>
          <w:bCs/>
          <w:sz w:val="32"/>
          <w:szCs w:val="32"/>
        </w:rPr>
        <w:t>报价单</w:t>
      </w:r>
    </w:p>
    <w:p>
      <w:pPr>
        <w:keepNext w:val="0"/>
        <w:keepLines w:val="0"/>
        <w:pageBreakBefore w:val="0"/>
        <w:widowControl w:val="0"/>
        <w:tabs>
          <w:tab w:val="left" w:pos="3360"/>
        </w:tabs>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pPr>
        <w:keepNext w:val="0"/>
        <w:keepLines w:val="0"/>
        <w:pageBreakBefore w:val="0"/>
        <w:widowControl w:val="0"/>
        <w:tabs>
          <w:tab w:val="left" w:pos="1060"/>
          <w:tab w:val="left" w:pos="3360"/>
        </w:tabs>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工程名称：</w:t>
      </w:r>
      <w:r>
        <w:rPr>
          <w:rFonts w:hint="eastAsia" w:ascii="仿宋" w:hAnsi="仿宋" w:eastAsia="仿宋" w:cs="仿宋"/>
          <w:snapToGrid/>
          <w:color w:val="333333"/>
          <w:sz w:val="28"/>
          <w:szCs w:val="28"/>
          <w:lang w:eastAsia="zh-CN"/>
        </w:rPr>
        <w:t>中央储备粮岳阳直属库有限公司中心库仓储项目（桩基施工）</w:t>
      </w:r>
    </w:p>
    <w:p>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工程地点：</w:t>
      </w:r>
      <w:r>
        <w:rPr>
          <w:rFonts w:hint="eastAsia" w:ascii="仿宋" w:hAnsi="仿宋" w:eastAsia="仿宋" w:cs="仿宋"/>
          <w:snapToGrid/>
          <w:color w:val="333333"/>
          <w:sz w:val="28"/>
          <w:szCs w:val="28"/>
          <w:lang w:val="en-US" w:eastAsia="zh-CN"/>
        </w:rPr>
        <w:t>湖南省岳阳市中央储备粮岳阳直属库有限公司中心库库区内</w:t>
      </w:r>
    </w:p>
    <w:p>
      <w:pPr>
        <w:keepNext w:val="0"/>
        <w:keepLines w:val="0"/>
        <w:pageBreakBefore w:val="0"/>
        <w:widowControl w:val="0"/>
        <w:tabs>
          <w:tab w:val="left" w:pos="3360"/>
        </w:tabs>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报价信息</w:t>
      </w:r>
      <w:r>
        <w:rPr>
          <w:rFonts w:hint="eastAsia" w:ascii="仿宋" w:hAnsi="仿宋" w:eastAsia="仿宋" w:cs="仿宋"/>
          <w:b/>
          <w:bCs/>
          <w:sz w:val="28"/>
          <w:szCs w:val="28"/>
          <w:lang w:eastAsia="zh-CN"/>
        </w:rPr>
        <w:t xml:space="preserve"> </w:t>
      </w:r>
    </w:p>
    <w:tbl>
      <w:tblPr>
        <w:tblStyle w:val="6"/>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33"/>
        <w:gridCol w:w="1457"/>
        <w:gridCol w:w="1593"/>
        <w:gridCol w:w="1300"/>
        <w:gridCol w:w="1400"/>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233" w:type="dxa"/>
            <w:noWrap w:val="0"/>
            <w:vAlign w:val="center"/>
          </w:tcPr>
          <w:p>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1457" w:type="dxa"/>
            <w:noWrap w:val="0"/>
            <w:vAlign w:val="center"/>
          </w:tcPr>
          <w:p>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单位</w:t>
            </w:r>
          </w:p>
          <w:p>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(规格)</w:t>
            </w:r>
          </w:p>
        </w:tc>
        <w:tc>
          <w:tcPr>
            <w:tcW w:w="1593" w:type="dxa"/>
            <w:noWrap w:val="0"/>
            <w:vAlign w:val="center"/>
          </w:tcPr>
          <w:p>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暂定数量</w:t>
            </w:r>
          </w:p>
        </w:tc>
        <w:tc>
          <w:tcPr>
            <w:tcW w:w="1300" w:type="dxa"/>
            <w:noWrap w:val="0"/>
            <w:vAlign w:val="center"/>
          </w:tcPr>
          <w:p>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单价</w:t>
            </w:r>
          </w:p>
          <w:p>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(元)</w:t>
            </w:r>
          </w:p>
        </w:tc>
        <w:tc>
          <w:tcPr>
            <w:tcW w:w="1400" w:type="dxa"/>
            <w:noWrap w:val="0"/>
            <w:vAlign w:val="center"/>
          </w:tcPr>
          <w:p>
            <w:pPr>
              <w:tabs>
                <w:tab w:val="left" w:pos="3360"/>
              </w:tabs>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合计</w:t>
            </w:r>
          </w:p>
          <w:p>
            <w:pPr>
              <w:tabs>
                <w:tab w:val="left" w:pos="3360"/>
              </w:tabs>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（元）</w:t>
            </w:r>
          </w:p>
        </w:tc>
        <w:tc>
          <w:tcPr>
            <w:tcW w:w="836" w:type="dxa"/>
            <w:noWrap w:val="0"/>
            <w:vAlign w:val="center"/>
          </w:tcPr>
          <w:p>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pPr>
              <w:spacing w:line="360" w:lineRule="auto"/>
              <w:jc w:val="center"/>
              <w:textAlignment w:val="center"/>
              <w:rPr>
                <w:rFonts w:hint="eastAsia" w:ascii="仿宋" w:hAnsi="仿宋" w:eastAsia="仿宋" w:cs="仿宋"/>
                <w:sz w:val="22"/>
                <w:szCs w:val="22"/>
                <w:lang w:eastAsia="zh-CN" w:bidi="ar"/>
              </w:rPr>
            </w:pPr>
            <w:r>
              <w:rPr>
                <w:rFonts w:hint="eastAsia" w:ascii="仿宋" w:hAnsi="仿宋" w:eastAsia="仿宋" w:cs="仿宋"/>
                <w:sz w:val="22"/>
                <w:szCs w:val="22"/>
                <w:lang w:eastAsia="zh-CN" w:bidi="ar"/>
              </w:rPr>
              <w:t>1</w:t>
            </w:r>
          </w:p>
        </w:tc>
        <w:tc>
          <w:tcPr>
            <w:tcW w:w="2233" w:type="dxa"/>
            <w:noWrap w:val="0"/>
            <w:vAlign w:val="center"/>
          </w:tcPr>
          <w:p>
            <w:pPr>
              <w:jc w:val="center"/>
              <w:textAlignment w:val="center"/>
              <w:rPr>
                <w:rFonts w:hint="default" w:ascii="仿宋" w:hAnsi="仿宋" w:eastAsia="仿宋" w:cs="仿宋"/>
                <w:sz w:val="22"/>
                <w:szCs w:val="22"/>
                <w:lang w:val="en-US" w:eastAsia="zh-CN" w:bidi="ar"/>
              </w:rPr>
            </w:pPr>
            <w:r>
              <w:rPr>
                <w:rFonts w:hint="eastAsia" w:ascii="仿宋_GB2312" w:hAnsi="宋体" w:eastAsia="仿宋_GB2312" w:cs="仿宋_GB2312"/>
                <w:sz w:val="21"/>
                <w:szCs w:val="21"/>
                <w:lang w:val="en-US" w:eastAsia="zh-CN"/>
              </w:rPr>
              <w:t>钢筋笼制作劳务分包</w:t>
            </w:r>
          </w:p>
        </w:tc>
        <w:tc>
          <w:tcPr>
            <w:tcW w:w="1457" w:type="dxa"/>
            <w:noWrap w:val="0"/>
            <w:vAlign w:val="center"/>
          </w:tcPr>
          <w:p>
            <w:pPr>
              <w:jc w:val="center"/>
              <w:textAlignment w:val="center"/>
              <w:rPr>
                <w:rFonts w:hint="default" w:ascii="仿宋" w:hAnsi="仿宋" w:eastAsia="仿宋" w:cs="仿宋"/>
                <w:sz w:val="22"/>
                <w:szCs w:val="22"/>
                <w:lang w:val="en-US" w:eastAsia="zh-CN" w:bidi="ar"/>
              </w:rPr>
            </w:pPr>
            <w:r>
              <w:rPr>
                <w:rFonts w:hint="eastAsia" w:ascii="仿宋" w:hAnsi="仿宋" w:eastAsia="仿宋" w:cs="仿宋"/>
                <w:sz w:val="22"/>
                <w:szCs w:val="22"/>
                <w:lang w:val="en-US" w:eastAsia="zh-CN" w:bidi="ar"/>
              </w:rPr>
              <w:t>吨</w:t>
            </w:r>
          </w:p>
        </w:tc>
        <w:tc>
          <w:tcPr>
            <w:tcW w:w="1593" w:type="dxa"/>
            <w:noWrap w:val="0"/>
            <w:vAlign w:val="center"/>
          </w:tcPr>
          <w:p>
            <w:pPr>
              <w:jc w:val="center"/>
              <w:textAlignment w:val="center"/>
              <w:rPr>
                <w:rFonts w:hint="default" w:ascii="仿宋" w:hAnsi="仿宋" w:eastAsia="仿宋" w:cs="仿宋"/>
                <w:sz w:val="22"/>
                <w:szCs w:val="22"/>
                <w:lang w:val="en-US" w:eastAsia="zh-CN" w:bidi="ar"/>
              </w:rPr>
            </w:pPr>
            <w:r>
              <w:rPr>
                <w:rFonts w:hint="default" w:ascii="仿宋" w:hAnsi="仿宋" w:eastAsia="仿宋" w:cs="仿宋"/>
                <w:sz w:val="22"/>
                <w:szCs w:val="22"/>
                <w:lang w:val="en-US" w:eastAsia="zh-CN" w:bidi="ar"/>
              </w:rPr>
              <w:t>551.285</w:t>
            </w:r>
          </w:p>
        </w:tc>
        <w:tc>
          <w:tcPr>
            <w:tcW w:w="1300" w:type="dxa"/>
            <w:noWrap w:val="0"/>
            <w:vAlign w:val="center"/>
          </w:tcPr>
          <w:p>
            <w:pPr>
              <w:jc w:val="center"/>
              <w:textAlignment w:val="center"/>
              <w:rPr>
                <w:rFonts w:hint="eastAsia" w:ascii="仿宋" w:hAnsi="仿宋" w:eastAsia="仿宋" w:cs="仿宋"/>
                <w:sz w:val="22"/>
                <w:szCs w:val="22"/>
                <w:lang w:eastAsia="zh-CN" w:bidi="ar"/>
              </w:rPr>
            </w:pPr>
          </w:p>
        </w:tc>
        <w:tc>
          <w:tcPr>
            <w:tcW w:w="1400" w:type="dxa"/>
            <w:noWrap w:val="0"/>
            <w:vAlign w:val="center"/>
          </w:tcPr>
          <w:p>
            <w:pPr>
              <w:jc w:val="center"/>
              <w:textAlignment w:val="center"/>
              <w:rPr>
                <w:rFonts w:hint="eastAsia" w:ascii="仿宋" w:hAnsi="仿宋" w:eastAsia="仿宋" w:cs="仿宋"/>
                <w:sz w:val="22"/>
                <w:szCs w:val="22"/>
                <w:lang w:eastAsia="zh-CN" w:bidi="ar"/>
              </w:rPr>
            </w:pPr>
          </w:p>
        </w:tc>
        <w:tc>
          <w:tcPr>
            <w:tcW w:w="836" w:type="dxa"/>
            <w:noWrap w:val="0"/>
            <w:vAlign w:val="center"/>
          </w:tcPr>
          <w:p>
            <w:pPr>
              <w:tabs>
                <w:tab w:val="left" w:pos="3360"/>
              </w:tabs>
              <w:spacing w:line="360" w:lineRule="auto"/>
              <w:jc w:val="cente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pPr>
              <w:spacing w:line="360" w:lineRule="auto"/>
              <w:jc w:val="center"/>
              <w:textAlignment w:val="center"/>
              <w:rPr>
                <w:rFonts w:hint="eastAsia" w:ascii="仿宋" w:hAnsi="仿宋" w:eastAsia="仿宋" w:cs="仿宋"/>
                <w:sz w:val="22"/>
                <w:szCs w:val="22"/>
                <w:lang w:eastAsia="zh-CN" w:bidi="ar"/>
              </w:rPr>
            </w:pPr>
          </w:p>
        </w:tc>
        <w:tc>
          <w:tcPr>
            <w:tcW w:w="2233" w:type="dxa"/>
            <w:noWrap w:val="0"/>
            <w:vAlign w:val="center"/>
          </w:tcPr>
          <w:p>
            <w:pPr>
              <w:jc w:val="center"/>
              <w:textAlignment w:val="center"/>
              <w:rPr>
                <w:rFonts w:hint="eastAsia" w:ascii="仿宋" w:hAnsi="仿宋" w:eastAsia="仿宋" w:cs="仿宋"/>
                <w:sz w:val="22"/>
                <w:szCs w:val="22"/>
                <w:lang w:eastAsia="zh-CN" w:bidi="ar"/>
              </w:rPr>
            </w:pPr>
          </w:p>
        </w:tc>
        <w:tc>
          <w:tcPr>
            <w:tcW w:w="1457" w:type="dxa"/>
            <w:noWrap w:val="0"/>
            <w:vAlign w:val="center"/>
          </w:tcPr>
          <w:p>
            <w:pPr>
              <w:jc w:val="center"/>
              <w:textAlignment w:val="center"/>
              <w:rPr>
                <w:rFonts w:hint="eastAsia" w:ascii="仿宋" w:hAnsi="仿宋" w:eastAsia="仿宋" w:cs="仿宋"/>
                <w:sz w:val="22"/>
                <w:szCs w:val="22"/>
                <w:lang w:eastAsia="zh-CN" w:bidi="ar"/>
              </w:rPr>
            </w:pPr>
          </w:p>
        </w:tc>
        <w:tc>
          <w:tcPr>
            <w:tcW w:w="1593" w:type="dxa"/>
            <w:noWrap w:val="0"/>
            <w:vAlign w:val="center"/>
          </w:tcPr>
          <w:p>
            <w:pPr>
              <w:jc w:val="center"/>
              <w:textAlignment w:val="center"/>
              <w:rPr>
                <w:rFonts w:hint="eastAsia" w:ascii="仿宋" w:hAnsi="仿宋" w:eastAsia="仿宋" w:cs="仿宋"/>
                <w:sz w:val="22"/>
                <w:szCs w:val="22"/>
                <w:lang w:eastAsia="zh-CN" w:bidi="ar"/>
              </w:rPr>
            </w:pPr>
          </w:p>
        </w:tc>
        <w:tc>
          <w:tcPr>
            <w:tcW w:w="1300" w:type="dxa"/>
            <w:noWrap w:val="0"/>
            <w:vAlign w:val="center"/>
          </w:tcPr>
          <w:p>
            <w:pPr>
              <w:jc w:val="center"/>
              <w:textAlignment w:val="center"/>
              <w:rPr>
                <w:rFonts w:hint="eastAsia" w:ascii="仿宋" w:hAnsi="仿宋" w:eastAsia="仿宋" w:cs="仿宋"/>
                <w:sz w:val="22"/>
                <w:szCs w:val="22"/>
                <w:lang w:eastAsia="zh-CN" w:bidi="ar"/>
              </w:rPr>
            </w:pPr>
          </w:p>
        </w:tc>
        <w:tc>
          <w:tcPr>
            <w:tcW w:w="1400" w:type="dxa"/>
            <w:noWrap w:val="0"/>
            <w:vAlign w:val="center"/>
          </w:tcPr>
          <w:p>
            <w:pPr>
              <w:jc w:val="center"/>
              <w:textAlignment w:val="center"/>
              <w:rPr>
                <w:rFonts w:hint="eastAsia" w:ascii="仿宋" w:hAnsi="仿宋" w:eastAsia="仿宋" w:cs="仿宋"/>
                <w:sz w:val="22"/>
                <w:szCs w:val="22"/>
                <w:lang w:eastAsia="zh-CN" w:bidi="ar"/>
              </w:rPr>
            </w:pPr>
          </w:p>
        </w:tc>
        <w:tc>
          <w:tcPr>
            <w:tcW w:w="836" w:type="dxa"/>
            <w:noWrap w:val="0"/>
            <w:vAlign w:val="center"/>
          </w:tcPr>
          <w:p>
            <w:pPr>
              <w:tabs>
                <w:tab w:val="left" w:pos="3360"/>
              </w:tabs>
              <w:spacing w:line="360" w:lineRule="auto"/>
              <w:jc w:val="cente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502" w:type="dxa"/>
            <w:gridSpan w:val="3"/>
            <w:noWrap w:val="0"/>
            <w:vAlign w:val="center"/>
          </w:tcPr>
          <w:p>
            <w:pPr>
              <w:spacing w:line="36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合计：</w:t>
            </w:r>
          </w:p>
        </w:tc>
        <w:tc>
          <w:tcPr>
            <w:tcW w:w="1593" w:type="dxa"/>
            <w:noWrap w:val="0"/>
            <w:vAlign w:val="center"/>
          </w:tcPr>
          <w:p>
            <w:pPr>
              <w:spacing w:line="360" w:lineRule="auto"/>
              <w:jc w:val="center"/>
              <w:textAlignment w:val="center"/>
              <w:rPr>
                <w:rFonts w:hint="eastAsia" w:ascii="仿宋" w:hAnsi="仿宋" w:eastAsia="仿宋" w:cs="仿宋"/>
                <w:sz w:val="22"/>
                <w:szCs w:val="22"/>
                <w:lang w:eastAsia="zh-CN" w:bidi="ar"/>
              </w:rPr>
            </w:pPr>
          </w:p>
        </w:tc>
        <w:tc>
          <w:tcPr>
            <w:tcW w:w="1300" w:type="dxa"/>
            <w:noWrap w:val="0"/>
            <w:vAlign w:val="center"/>
          </w:tcPr>
          <w:p>
            <w:pPr>
              <w:spacing w:line="360" w:lineRule="auto"/>
              <w:jc w:val="center"/>
              <w:textAlignment w:val="center"/>
              <w:rPr>
                <w:rFonts w:hint="eastAsia" w:ascii="仿宋" w:hAnsi="仿宋" w:eastAsia="仿宋" w:cs="仿宋"/>
                <w:sz w:val="22"/>
                <w:szCs w:val="22"/>
                <w:lang w:eastAsia="zh-CN" w:bidi="ar"/>
              </w:rPr>
            </w:pPr>
          </w:p>
        </w:tc>
        <w:tc>
          <w:tcPr>
            <w:tcW w:w="1400" w:type="dxa"/>
            <w:noWrap w:val="0"/>
            <w:vAlign w:val="center"/>
          </w:tcPr>
          <w:p>
            <w:pPr>
              <w:jc w:val="center"/>
              <w:textAlignment w:val="center"/>
              <w:rPr>
                <w:rFonts w:hint="eastAsia" w:ascii="仿宋" w:hAnsi="仿宋" w:eastAsia="仿宋" w:cs="仿宋"/>
                <w:kern w:val="2"/>
                <w:lang w:eastAsia="zh-CN"/>
              </w:rPr>
            </w:pPr>
          </w:p>
        </w:tc>
        <w:tc>
          <w:tcPr>
            <w:tcW w:w="836" w:type="dxa"/>
            <w:noWrap w:val="0"/>
            <w:vAlign w:val="center"/>
          </w:tcPr>
          <w:p>
            <w:pPr>
              <w:tabs>
                <w:tab w:val="left" w:pos="3360"/>
              </w:tabs>
              <w:spacing w:line="360" w:lineRule="auto"/>
              <w:jc w:val="center"/>
              <w:rPr>
                <w:rFonts w:hint="eastAsia" w:ascii="仿宋" w:hAnsi="仿宋" w:eastAsia="仿宋" w:cs="仿宋"/>
                <w:b/>
                <w:bCs/>
                <w:sz w:val="28"/>
                <w:szCs w:val="28"/>
              </w:rPr>
            </w:pPr>
          </w:p>
        </w:tc>
      </w:tr>
    </w:tbl>
    <w:p>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t>注：1.以上报价是否含税：是</w:t>
      </w:r>
      <w:r>
        <w:rPr>
          <w:rFonts w:hint="eastAsia" w:ascii="仿宋" w:hAnsi="仿宋" w:eastAsia="仿宋" w:cs="仿宋"/>
          <w:sz w:val="28"/>
          <w:szCs w:val="28"/>
        </w:rPr>
        <w:sym w:font="Wingdings" w:char="00FE"/>
      </w:r>
      <w:r>
        <w:rPr>
          <w:rFonts w:hint="eastAsia" w:ascii="仿宋" w:hAnsi="仿宋" w:eastAsia="仿宋" w:cs="仿宋"/>
          <w:sz w:val="28"/>
          <w:szCs w:val="28"/>
        </w:rPr>
        <w:t>（税率：</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 否</w:t>
      </w:r>
      <w:r>
        <w:rPr>
          <w:rFonts w:hint="eastAsia" w:ascii="仿宋" w:hAnsi="仿宋" w:eastAsia="仿宋" w:cs="仿宋"/>
          <w:sz w:val="28"/>
          <w:szCs w:val="28"/>
        </w:rPr>
        <w:sym w:font="Wingdings" w:char="F0A8"/>
      </w:r>
    </w:p>
    <w:p>
      <w:pPr>
        <w:tabs>
          <w:tab w:val="left" w:pos="336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以上材料报价有效期为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天。</w:t>
      </w:r>
    </w:p>
    <w:p>
      <w:pPr>
        <w:tabs>
          <w:tab w:val="left" w:pos="336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如某单价与总价不符，则以较低价为准，或作废标处理；</w:t>
      </w:r>
    </w:p>
    <w:p>
      <w:pPr>
        <w:tabs>
          <w:tab w:val="left" w:pos="3360"/>
        </w:tabs>
        <w:spacing w:line="360" w:lineRule="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结算方式：</w:t>
      </w:r>
    </w:p>
    <w:p>
      <w:pPr>
        <w:keepNext w:val="0"/>
        <w:keepLines w:val="0"/>
        <w:pageBreakBefore w:val="0"/>
        <w:widowControl w:val="0"/>
        <w:tabs>
          <w:tab w:val="left" w:pos="336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F0A8"/>
      </w:r>
      <w:r>
        <w:rPr>
          <w:rFonts w:hint="eastAsia" w:ascii="仿宋" w:hAnsi="仿宋" w:eastAsia="仿宋" w:cs="仿宋"/>
          <w:sz w:val="28"/>
          <w:szCs w:val="28"/>
        </w:rPr>
        <w:t>1.银行承兑，接收比例或金额：</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val="0"/>
        <w:tabs>
          <w:tab w:val="left" w:pos="336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2.现金结算。</w:t>
      </w:r>
    </w:p>
    <w:p>
      <w:pPr>
        <w:tabs>
          <w:tab w:val="left" w:pos="3360"/>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四、付款方式：</w:t>
      </w:r>
    </w:p>
    <w:p>
      <w:pPr>
        <w:keepNext w:val="0"/>
        <w:keepLines w:val="0"/>
        <w:pageBreakBefore w:val="0"/>
        <w:widowControl w:val="0"/>
        <w:tabs>
          <w:tab w:val="left" w:pos="336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bCs/>
          <w:sz w:val="28"/>
          <w:szCs w:val="28"/>
          <w:highlight w:val="none"/>
          <w:u w:val="single"/>
          <w:lang w:eastAsia="zh-CN"/>
        </w:rPr>
      </w:pPr>
      <w:r>
        <w:rPr>
          <w:rFonts w:hint="eastAsia" w:ascii="仿宋" w:hAnsi="仿宋" w:eastAsia="仿宋" w:cs="仿宋"/>
          <w:sz w:val="28"/>
          <w:szCs w:val="28"/>
          <w:highlight w:val="none"/>
        </w:rPr>
        <w:t>全部施工完成，及时办理结算手续，结算手续完成后15个工作日内，支付审核金额的60%劳务款。剩余部分的劳务款待本工程竣工验收合格后无息付清。</w:t>
      </w:r>
    </w:p>
    <w:p>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t xml:space="preserve">报价人（单位盖章）：        </w:t>
      </w:r>
    </w:p>
    <w:p>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t>报价日期：  年   月   日</w:t>
      </w:r>
      <w:bookmarkStart w:id="0" w:name="_GoBack"/>
      <w:bookmarkEnd w:id="0"/>
    </w:p>
    <w:p>
      <w:pPr>
        <w:pStyle w:val="2"/>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2"/>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2"/>
        <w:overflowPunct w:val="0"/>
        <w:rPr>
          <w:rFonts w:hint="eastAsia" w:ascii="仿宋" w:hAnsi="仿宋" w:eastAsia="仿宋" w:cs="仿宋"/>
          <w:sz w:val="18"/>
          <w:szCs w:val="18"/>
        </w:rPr>
      </w:pPr>
    </w:p>
    <w:p>
      <w:pPr>
        <w:pStyle w:val="8"/>
        <w:autoSpaceDE/>
        <w:autoSpaceDN/>
        <w:adjustRightInd/>
        <w:spacing w:line="560" w:lineRule="exact"/>
        <w:jc w:val="both"/>
        <w:rPr>
          <w:rFonts w:hint="eastAsia" w:ascii="仿宋" w:hAnsi="仿宋" w:eastAsia="仿宋" w:cs="仿宋"/>
          <w:kern w:val="2"/>
          <w:szCs w:val="24"/>
        </w:rPr>
      </w:pPr>
    </w:p>
    <w:p>
      <w:pPr>
        <w:pStyle w:val="8"/>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8"/>
        <w:autoSpaceDE/>
        <w:autoSpaceDN/>
        <w:adjustRightInd/>
        <w:spacing w:line="560" w:lineRule="exact"/>
        <w:rPr>
          <w:rFonts w:hint="eastAsia" w:ascii="仿宋" w:hAnsi="仿宋" w:eastAsia="仿宋" w:cs="仿宋"/>
          <w:kern w:val="2"/>
          <w:szCs w:val="24"/>
        </w:rPr>
      </w:pPr>
    </w:p>
    <w:p>
      <w:pPr>
        <w:pStyle w:val="8"/>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Pr>
        <w:pStyle w:val="2"/>
        <w:overflowPunct w:val="0"/>
        <w:ind w:left="90" w:right="3197"/>
        <w:jc w:val="center"/>
        <w:rPr>
          <w:rFonts w:hint="eastAsia" w:ascii="仿宋" w:hAnsi="仿宋" w:eastAsia="仿宋" w:cs="仿宋"/>
          <w:sz w:val="36"/>
          <w:szCs w:val="36"/>
        </w:rPr>
      </w:pPr>
    </w:p>
    <w:p>
      <w:pPr>
        <w:rPr>
          <w:rFonts w:hint="eastAsia" w:ascii="仿宋" w:hAnsi="仿宋" w:eastAsia="仿宋" w:cs="仿宋"/>
          <w:sz w:val="36"/>
          <w:szCs w:val="36"/>
        </w:rPr>
      </w:pPr>
    </w:p>
    <w:p/>
    <w:p/>
    <w:sectPr>
      <w:pgSz w:w="11906" w:h="16838"/>
      <w:pgMar w:top="102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MmUyNTQ3MDNiMjI5ODc0ZjVlM2U4MjIxMjczYTIifQ=="/>
  </w:docVars>
  <w:rsids>
    <w:rsidRoot w:val="00000000"/>
    <w:rsid w:val="476F5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Body Text Indent 2"/>
    <w:basedOn w:val="1"/>
    <w:qFormat/>
    <w:uiPriority w:val="0"/>
    <w:pPr>
      <w:spacing w:after="120" w:line="480" w:lineRule="auto"/>
      <w:ind w:left="420" w:firstLine="539"/>
    </w:pPr>
    <w:rPr>
      <w:rFonts w:ascii="Times New Roman" w:hAnsi="Times New Roman"/>
      <w:sz w:val="28"/>
    </w:rPr>
  </w:style>
  <w:style w:type="paragraph" w:styleId="4">
    <w:name w:val="toc 2"/>
    <w:basedOn w:val="1"/>
    <w:next w:val="1"/>
    <w:qFormat/>
    <w:uiPriority w:val="39"/>
    <w:pPr>
      <w:ind w:left="420" w:leftChars="200"/>
    </w:pPr>
  </w:style>
  <w:style w:type="paragraph" w:styleId="5">
    <w:name w:val="Body Text First Indent"/>
    <w:basedOn w:val="2"/>
    <w:unhideWhenUsed/>
    <w:qFormat/>
    <w:uiPriority w:val="99"/>
    <w:pPr>
      <w:ind w:firstLine="420" w:firstLineChars="100"/>
    </w:pPr>
    <w:rPr>
      <w:rFonts w:ascii="Calibri" w:hAnsi="Calibri" w:eastAsia="宋体" w:cs="Times New Roman"/>
      <w:szCs w:val="22"/>
    </w:rPr>
  </w:style>
  <w:style w:type="paragraph" w:styleId="8">
    <w:name w:val="List Paragraph"/>
    <w:basedOn w:val="1"/>
    <w:autoRedefine/>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花园坊</cp:lastModifiedBy>
  <dcterms:modified xsi:type="dcterms:W3CDTF">2023-12-18T09:36:22Z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12CA40EC5E464CEA8CBFDF4144897428_12</vt:lpwstr>
  </property>
</Properties>
</file>