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rPr>
          <w:rFonts w:ascii="黑体" w:hAnsi="宋体" w:eastAsia="黑体" w:cs="Times New Roman"/>
          <w:b/>
          <w:color w:val="auto"/>
          <w:kern w:val="2"/>
          <w:sz w:val="72"/>
          <w:szCs w:val="72"/>
        </w:rPr>
      </w:pPr>
    </w:p>
    <w:p>
      <w:pPr>
        <w:widowControl w:val="0"/>
        <w:kinsoku/>
        <w:autoSpaceDE/>
        <w:autoSpaceDN/>
        <w:adjustRightInd/>
        <w:snapToGrid/>
        <w:spacing w:line="360" w:lineRule="auto"/>
        <w:jc w:val="center"/>
        <w:rPr>
          <w:rFonts w:hint="eastAsia" w:ascii="黑体" w:hAnsi="宋体" w:eastAsia="黑体" w:cs="Times New Roman"/>
          <w:b/>
          <w:color w:val="auto"/>
          <w:kern w:val="2"/>
          <w:sz w:val="52"/>
          <w:szCs w:val="52"/>
          <w:lang w:eastAsia="zh-CN"/>
        </w:rPr>
      </w:pPr>
      <w:r>
        <w:rPr>
          <w:rFonts w:hint="eastAsia" w:ascii="黑体" w:hAnsi="宋体" w:eastAsia="黑体" w:cs="Times New Roman"/>
          <w:b/>
          <w:color w:val="auto"/>
          <w:kern w:val="2"/>
          <w:sz w:val="52"/>
          <w:szCs w:val="52"/>
        </w:rPr>
        <w:t>丰树广州国际食品智能生产基地和华南供应链采购配送中心项目桩基工程</w:t>
      </w:r>
      <w:r>
        <w:rPr>
          <w:rFonts w:hint="eastAsia" w:ascii="黑体" w:hAnsi="宋体" w:eastAsia="黑体" w:cs="Times New Roman"/>
          <w:b/>
          <w:color w:val="auto"/>
          <w:kern w:val="2"/>
          <w:sz w:val="52"/>
          <w:szCs w:val="52"/>
          <w:lang w:val="en-US" w:eastAsia="zh-CN"/>
        </w:rPr>
        <w:t>地基基础检测</w:t>
      </w:r>
    </w:p>
    <w:p>
      <w:pPr>
        <w:widowControl w:val="0"/>
        <w:kinsoku/>
        <w:autoSpaceDE/>
        <w:autoSpaceDN/>
        <w:adjustRightInd/>
        <w:snapToGrid/>
        <w:spacing w:line="360" w:lineRule="auto"/>
        <w:jc w:val="center"/>
        <w:rPr>
          <w:rFonts w:ascii="黑体" w:hAnsi="宋体" w:eastAsia="黑体" w:cs="Times New Roman"/>
          <w:b/>
          <w:color w:val="auto"/>
          <w:kern w:val="2"/>
          <w:sz w:val="52"/>
          <w:szCs w:val="52"/>
        </w:rPr>
      </w:pPr>
      <w:r>
        <w:rPr>
          <w:rFonts w:hint="eastAsia" w:ascii="黑体" w:hAnsi="宋体" w:eastAsia="黑体" w:cs="Times New Roman"/>
          <w:b/>
          <w:color w:val="auto"/>
          <w:kern w:val="2"/>
          <w:sz w:val="52"/>
          <w:szCs w:val="52"/>
        </w:rPr>
        <w:t>采购文件</w:t>
      </w:r>
    </w:p>
    <w:p>
      <w:pPr>
        <w:widowControl w:val="0"/>
        <w:kinsoku/>
        <w:autoSpaceDE/>
        <w:autoSpaceDN/>
        <w:adjustRightInd/>
        <w:snapToGrid/>
        <w:jc w:val="both"/>
        <w:rPr>
          <w:rFonts w:ascii="宋体" w:hAnsi="Calibri" w:eastAsia="宋体" w:cs="Times New Roman"/>
          <w:color w:val="auto"/>
          <w:kern w:val="2"/>
          <w:szCs w:val="20"/>
        </w:rPr>
      </w:pPr>
    </w:p>
    <w:p>
      <w:pPr>
        <w:widowControl w:val="0"/>
        <w:kinsoku/>
        <w:autoSpaceDE/>
        <w:autoSpaceDN/>
        <w:adjustRightInd/>
        <w:snapToGrid/>
        <w:spacing w:line="360" w:lineRule="auto"/>
        <w:jc w:val="right"/>
        <w:rPr>
          <w:rFonts w:ascii="宋体" w:hAnsi="宋体" w:eastAsia="宋体" w:cs="Times New Roman"/>
          <w:color w:val="auto"/>
          <w:kern w:val="2"/>
          <w:sz w:val="32"/>
          <w:szCs w:val="20"/>
        </w:rPr>
      </w:pPr>
    </w:p>
    <w:p>
      <w:pPr>
        <w:widowControl w:val="0"/>
        <w:kinsoku/>
        <w:autoSpaceDE/>
        <w:autoSpaceDN/>
        <w:adjustRightInd/>
        <w:snapToGrid/>
        <w:spacing w:line="360" w:lineRule="auto"/>
        <w:ind w:firstLine="2249" w:firstLineChars="700"/>
        <w:jc w:val="both"/>
        <w:rPr>
          <w:rFonts w:hint="eastAsia" w:ascii="宋体" w:hAnsi="宋体" w:eastAsia="黑体" w:cs="Times New Roman"/>
          <w:color w:val="auto"/>
          <w:kern w:val="2"/>
          <w:sz w:val="32"/>
          <w:szCs w:val="20"/>
          <w:lang w:eastAsia="zh-CN"/>
        </w:rPr>
      </w:pPr>
      <w:r>
        <w:rPr>
          <w:rFonts w:hint="eastAsia" w:ascii="黑体" w:hAnsi="黑体" w:eastAsia="黑体" w:cs="黑体"/>
          <w:b/>
          <w:color w:val="auto"/>
          <w:kern w:val="2"/>
          <w:sz w:val="32"/>
          <w:szCs w:val="20"/>
        </w:rPr>
        <w:t>采购编号：</w:t>
      </w:r>
      <w:r>
        <w:rPr>
          <w:rFonts w:ascii="黑体" w:hAnsi="黑体" w:eastAsia="黑体" w:cs="黑体"/>
          <w:b/>
          <w:color w:val="auto"/>
          <w:kern w:val="2"/>
          <w:sz w:val="32"/>
          <w:szCs w:val="20"/>
        </w:rPr>
        <w:t>ZMCJ-CG-202</w:t>
      </w:r>
      <w:r>
        <w:rPr>
          <w:rFonts w:hint="eastAsia" w:ascii="黑体" w:hAnsi="黑体" w:eastAsia="黑体" w:cs="黑体"/>
          <w:b/>
          <w:color w:val="auto"/>
          <w:kern w:val="2"/>
          <w:sz w:val="32"/>
          <w:szCs w:val="20"/>
        </w:rPr>
        <w:t>4</w:t>
      </w:r>
      <w:r>
        <w:rPr>
          <w:rFonts w:ascii="黑体" w:hAnsi="黑体" w:eastAsia="黑体" w:cs="黑体"/>
          <w:b/>
          <w:color w:val="auto"/>
          <w:kern w:val="2"/>
          <w:sz w:val="32"/>
          <w:szCs w:val="20"/>
        </w:rPr>
        <w:t>-20-</w:t>
      </w:r>
      <w:r>
        <w:rPr>
          <w:rFonts w:hint="eastAsia" w:ascii="黑体" w:hAnsi="黑体" w:eastAsia="黑体" w:cs="黑体"/>
          <w:b/>
          <w:color w:val="auto"/>
          <w:kern w:val="2"/>
          <w:sz w:val="32"/>
          <w:szCs w:val="20"/>
        </w:rPr>
        <w:t>0</w:t>
      </w:r>
      <w:r>
        <w:rPr>
          <w:rFonts w:hint="eastAsia" w:ascii="黑体" w:hAnsi="黑体" w:eastAsia="黑体" w:cs="黑体"/>
          <w:b/>
          <w:color w:val="auto"/>
          <w:kern w:val="2"/>
          <w:sz w:val="32"/>
          <w:szCs w:val="20"/>
          <w:lang w:val="en-US" w:eastAsia="zh-CN"/>
        </w:rPr>
        <w:t>4</w:t>
      </w:r>
    </w:p>
    <w:p>
      <w:pPr>
        <w:widowControl w:val="0"/>
        <w:kinsoku/>
        <w:autoSpaceDE/>
        <w:autoSpaceDN/>
        <w:adjustRightInd/>
        <w:snapToGrid/>
        <w:spacing w:line="360" w:lineRule="auto"/>
        <w:jc w:val="right"/>
        <w:rPr>
          <w:rFonts w:ascii="宋体" w:hAnsi="宋体" w:eastAsia="宋体" w:cs="Times New Roman"/>
          <w:color w:val="auto"/>
          <w:kern w:val="2"/>
          <w:sz w:val="32"/>
          <w:szCs w:val="20"/>
        </w:rPr>
      </w:pPr>
    </w:p>
    <w:p>
      <w:pPr>
        <w:widowControl w:val="0"/>
        <w:kinsoku/>
        <w:autoSpaceDE/>
        <w:autoSpaceDN/>
        <w:adjustRightInd/>
        <w:snapToGrid/>
        <w:spacing w:line="360" w:lineRule="auto"/>
        <w:jc w:val="both"/>
        <w:rPr>
          <w:rFonts w:ascii="宋体" w:hAnsi="宋体" w:eastAsia="宋体" w:cs="Times New Roman"/>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ascii="黑体" w:hAnsi="黑体" w:eastAsia="黑体" w:cs="黑体"/>
          <w:b/>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ascii="黑体" w:hAnsi="黑体" w:eastAsia="黑体" w:cs="黑体"/>
          <w:b/>
          <w:color w:val="auto"/>
          <w:kern w:val="2"/>
          <w:sz w:val="32"/>
          <w:szCs w:val="20"/>
        </w:rPr>
      </w:pPr>
    </w:p>
    <w:p>
      <w:pPr>
        <w:pStyle w:val="2"/>
        <w:rPr>
          <w:rFonts w:ascii="黑体" w:hAnsi="黑体" w:eastAsia="黑体" w:cs="黑体"/>
          <w:b/>
          <w:color w:val="auto"/>
          <w:kern w:val="2"/>
          <w:sz w:val="32"/>
          <w:szCs w:val="20"/>
        </w:rPr>
      </w:pPr>
    </w:p>
    <w:p>
      <w:pPr>
        <w:rPr>
          <w:rFonts w:ascii="黑体" w:hAnsi="黑体" w:eastAsia="黑体" w:cs="黑体"/>
          <w:b/>
          <w:color w:val="auto"/>
          <w:kern w:val="2"/>
          <w:sz w:val="32"/>
          <w:szCs w:val="20"/>
        </w:rPr>
      </w:pPr>
    </w:p>
    <w:p>
      <w:pPr>
        <w:pStyle w:val="2"/>
      </w:pPr>
    </w:p>
    <w:p>
      <w:pPr>
        <w:widowControl w:val="0"/>
        <w:tabs>
          <w:tab w:val="left" w:pos="360"/>
        </w:tabs>
        <w:kinsoku/>
        <w:autoSpaceDE/>
        <w:autoSpaceDN/>
        <w:adjustRightInd/>
        <w:snapToGrid/>
        <w:spacing w:line="360" w:lineRule="auto"/>
        <w:ind w:firstLine="2249" w:firstLineChars="700"/>
        <w:jc w:val="both"/>
        <w:rPr>
          <w:rFonts w:ascii="黑体" w:hAnsi="黑体" w:eastAsia="黑体" w:cs="黑体"/>
          <w:b/>
          <w:color w:val="auto"/>
          <w:kern w:val="2"/>
          <w:sz w:val="32"/>
          <w:szCs w:val="20"/>
        </w:rPr>
      </w:pPr>
    </w:p>
    <w:p>
      <w:pPr>
        <w:widowControl w:val="0"/>
        <w:tabs>
          <w:tab w:val="left" w:pos="360"/>
        </w:tabs>
        <w:kinsoku/>
        <w:autoSpaceDE/>
        <w:autoSpaceDN/>
        <w:adjustRightInd/>
        <w:snapToGrid/>
        <w:spacing w:line="360" w:lineRule="auto"/>
        <w:ind w:firstLine="1285" w:firstLineChars="400"/>
        <w:jc w:val="both"/>
      </w:pPr>
      <w:r>
        <w:rPr>
          <w:rFonts w:hint="eastAsia" w:ascii="黑体" w:hAnsi="黑体" w:eastAsia="黑体" w:cs="黑体"/>
          <w:b/>
          <w:color w:val="auto"/>
          <w:kern w:val="2"/>
          <w:sz w:val="32"/>
          <w:szCs w:val="20"/>
        </w:rPr>
        <w:t>招标人：中煤长江地质集团有限公司</w:t>
      </w:r>
    </w:p>
    <w:p>
      <w:pPr>
        <w:widowControl w:val="0"/>
        <w:kinsoku/>
        <w:autoSpaceDE/>
        <w:autoSpaceDN/>
        <w:adjustRightInd/>
        <w:snapToGrid/>
        <w:jc w:val="center"/>
        <w:rPr>
          <w:rFonts w:ascii="黑体" w:hAnsi="黑体" w:eastAsia="黑体" w:cs="黑体"/>
          <w:b/>
          <w:color w:val="auto"/>
          <w:kern w:val="2"/>
          <w:sz w:val="32"/>
          <w:szCs w:val="20"/>
        </w:rPr>
      </w:pPr>
      <w:r>
        <w:rPr>
          <w:rFonts w:hint="eastAsia" w:ascii="黑体" w:hAnsi="黑体" w:eastAsia="黑体" w:cs="黑体"/>
          <w:b/>
          <w:color w:val="auto"/>
          <w:kern w:val="2"/>
          <w:sz w:val="32"/>
          <w:szCs w:val="20"/>
        </w:rPr>
        <w:t>二〇二四年</w:t>
      </w:r>
      <w:r>
        <w:rPr>
          <w:rFonts w:hint="eastAsia" w:ascii="黑体" w:hAnsi="黑体" w:eastAsia="黑体" w:cs="黑体"/>
          <w:b/>
          <w:color w:val="auto"/>
          <w:kern w:val="2"/>
          <w:sz w:val="32"/>
          <w:szCs w:val="20"/>
          <w:lang w:val="en-US" w:eastAsia="zh-CN"/>
        </w:rPr>
        <w:t>三</w:t>
      </w:r>
      <w:r>
        <w:rPr>
          <w:rFonts w:hint="eastAsia" w:ascii="黑体" w:hAnsi="黑体" w:eastAsia="黑体" w:cs="黑体"/>
          <w:b/>
          <w:color w:val="auto"/>
          <w:kern w:val="2"/>
          <w:sz w:val="32"/>
          <w:szCs w:val="20"/>
        </w:rPr>
        <w:t>月</w:t>
      </w:r>
    </w:p>
    <w:p>
      <w:pPr>
        <w:kinsoku/>
        <w:overflowPunct w:val="0"/>
        <w:topLinePunct/>
        <w:spacing w:line="560" w:lineRule="exact"/>
        <w:jc w:val="both"/>
        <w:rPr>
          <w:rFonts w:ascii="仿宋_GB2312" w:eastAsia="仿宋_GB2312"/>
          <w:sz w:val="32"/>
          <w:szCs w:val="32"/>
        </w:rPr>
      </w:pPr>
    </w:p>
    <w:p>
      <w:pPr>
        <w:pStyle w:val="10"/>
        <w:ind w:left="0" w:leftChars="0" w:firstLine="0" w:firstLineChars="0"/>
        <w:rPr>
          <w:rFonts w:eastAsiaTheme="minorEastAsia"/>
        </w:rPr>
      </w:pPr>
    </w:p>
    <w:p>
      <w:pPr>
        <w:pStyle w:val="19"/>
        <w:spacing w:line="560" w:lineRule="exact"/>
        <w:ind w:firstLine="640" w:firstLineChars="200"/>
        <w:jc w:val="both"/>
        <w:rPr>
          <w:rFonts w:ascii="仿宋_GB2312" w:eastAsia="仿宋_GB2312" w:cs="仿宋"/>
          <w:sz w:val="32"/>
          <w:szCs w:val="32"/>
        </w:rPr>
      </w:pPr>
      <w:r>
        <w:rPr>
          <w:rFonts w:hint="eastAsia" w:ascii="仿宋_GB2312" w:eastAsia="仿宋_GB2312" w:cs="仿宋"/>
          <w:sz w:val="32"/>
          <w:szCs w:val="32"/>
        </w:rPr>
        <w:t>我公司拟进行</w:t>
      </w:r>
      <w:r>
        <w:rPr>
          <w:rFonts w:hint="eastAsia" w:ascii="仿宋_GB2312" w:eastAsia="仿宋_GB2312" w:cs="仿宋"/>
          <w:sz w:val="32"/>
          <w:szCs w:val="32"/>
          <w:lang w:val="en-US" w:eastAsia="zh-CN"/>
        </w:rPr>
        <w:t>地基基础检测</w:t>
      </w:r>
      <w:r>
        <w:rPr>
          <w:rFonts w:hint="eastAsia" w:ascii="仿宋_GB2312" w:eastAsia="仿宋_GB2312" w:cs="仿宋"/>
          <w:sz w:val="32"/>
          <w:szCs w:val="32"/>
        </w:rPr>
        <w:t>项目采购，采购编号：</w:t>
      </w:r>
      <w:r>
        <w:rPr>
          <w:rFonts w:ascii="仿宋_GB2312" w:eastAsia="仿宋_GB2312" w:cs="仿宋"/>
          <w:color w:val="auto"/>
          <w:sz w:val="32"/>
          <w:szCs w:val="32"/>
        </w:rPr>
        <w:t>ZMCJ-CG-202</w:t>
      </w:r>
      <w:r>
        <w:rPr>
          <w:rFonts w:hint="eastAsia" w:ascii="仿宋_GB2312" w:eastAsia="仿宋_GB2312" w:cs="仿宋"/>
          <w:color w:val="auto"/>
          <w:sz w:val="32"/>
          <w:szCs w:val="32"/>
        </w:rPr>
        <w:t>4</w:t>
      </w:r>
      <w:r>
        <w:rPr>
          <w:rFonts w:ascii="仿宋_GB2312" w:eastAsia="仿宋_GB2312" w:cs="仿宋"/>
          <w:color w:val="auto"/>
          <w:sz w:val="32"/>
          <w:szCs w:val="32"/>
        </w:rPr>
        <w:t>-20-</w:t>
      </w:r>
      <w:r>
        <w:rPr>
          <w:rFonts w:hint="eastAsia" w:ascii="仿宋_GB2312" w:eastAsia="仿宋_GB2312" w:cs="仿宋"/>
          <w:color w:val="auto"/>
          <w:sz w:val="32"/>
          <w:szCs w:val="32"/>
        </w:rPr>
        <w:t>0</w:t>
      </w:r>
      <w:r>
        <w:rPr>
          <w:rFonts w:hint="eastAsia" w:ascii="仿宋_GB2312" w:eastAsia="仿宋_GB2312" w:cs="仿宋"/>
          <w:color w:val="auto"/>
          <w:sz w:val="32"/>
          <w:szCs w:val="32"/>
          <w:lang w:val="en-US" w:eastAsia="zh-CN"/>
        </w:rPr>
        <w:t>4</w:t>
      </w:r>
      <w:r>
        <w:rPr>
          <w:rFonts w:hint="eastAsia" w:ascii="仿宋_GB2312" w:eastAsia="仿宋_GB2312" w:cs="仿宋"/>
          <w:sz w:val="32"/>
          <w:szCs w:val="32"/>
        </w:rPr>
        <w:t>。</w:t>
      </w:r>
    </w:p>
    <w:p>
      <w:pPr>
        <w:pStyle w:val="19"/>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right="12"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项目名称：丰树广州国际食品智能生产基地和华南供应链采购配送中心项目桩基工程</w:t>
      </w:r>
    </w:p>
    <w:p>
      <w:pPr>
        <w:kinsoku/>
        <w:autoSpaceDE/>
        <w:autoSpaceDN/>
        <w:adjustRightInd/>
        <w:snapToGrid/>
        <w:spacing w:line="560" w:lineRule="exact"/>
        <w:ind w:right="12"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需求：</w:t>
      </w:r>
      <w:r>
        <w:rPr>
          <w:rFonts w:hint="eastAsia" w:ascii="仿宋_GB2312" w:hAnsi="仿宋_GB2312" w:eastAsia="仿宋_GB2312" w:cs="仿宋_GB2312"/>
          <w:color w:val="333333"/>
          <w:sz w:val="32"/>
          <w:szCs w:val="32"/>
          <w:lang w:val="en-US" w:eastAsia="zh-CN"/>
        </w:rPr>
        <w:t>预制桩桩身完整性及承载力检测：2561根；灌注桩桩身完整性及承载力检测：621根；天然地基持力层性状，天然地基承载力特征值;14㎡；处理地基持力层性状，处理地基承载力特征值：436㎡等</w:t>
      </w:r>
      <w:r>
        <w:rPr>
          <w:rFonts w:hint="eastAsia" w:ascii="仿宋_GB2312" w:hAnsi="仿宋_GB2312" w:eastAsia="仿宋_GB2312" w:cs="仿宋_GB2312"/>
          <w:color w:val="333333"/>
          <w:sz w:val="32"/>
          <w:szCs w:val="32"/>
        </w:rPr>
        <w:t>（具体</w:t>
      </w:r>
      <w:r>
        <w:rPr>
          <w:rFonts w:hint="eastAsia" w:ascii="仿宋_GB2312" w:hAnsi="仿宋_GB2312" w:eastAsia="仿宋_GB2312" w:cs="仿宋_GB2312"/>
          <w:color w:val="333333"/>
          <w:sz w:val="32"/>
          <w:szCs w:val="32"/>
          <w:lang w:val="en-US" w:eastAsia="zh-CN"/>
        </w:rPr>
        <w:t>项目详见</w:t>
      </w:r>
      <w:r>
        <w:rPr>
          <w:rFonts w:hint="eastAsia" w:ascii="仿宋_GB2312" w:hAnsi="仿宋_GB2312" w:eastAsia="仿宋_GB2312" w:cs="仿宋_GB2312"/>
          <w:color w:val="333333"/>
          <w:sz w:val="32"/>
          <w:szCs w:val="32"/>
        </w:rPr>
        <w:t>报价单）</w:t>
      </w:r>
    </w:p>
    <w:p>
      <w:pPr>
        <w:shd w:val="clear" w:color="auto" w:fill="FFFFFF"/>
        <w:kinsoku/>
        <w:autoSpaceDE/>
        <w:autoSpaceDN/>
        <w:adjustRightInd/>
        <w:snapToGrid/>
        <w:spacing w:line="560" w:lineRule="exact"/>
        <w:ind w:right="10"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w:t>
      </w:r>
      <w:r>
        <w:rPr>
          <w:rFonts w:ascii="仿宋_GB2312" w:hAnsi="仿宋_GB2312" w:eastAsia="仿宋_GB2312" w:cs="仿宋_GB2312"/>
          <w:color w:val="333333"/>
          <w:sz w:val="32"/>
          <w:szCs w:val="32"/>
        </w:rPr>
        <w:t>地点：</w:t>
      </w:r>
      <w:r>
        <w:rPr>
          <w:rFonts w:hint="eastAsia" w:ascii="仿宋_GB2312" w:hAnsi="仿宋_GB2312" w:eastAsia="仿宋_GB2312" w:cs="仿宋_GB2312"/>
          <w:color w:val="333333"/>
          <w:sz w:val="32"/>
          <w:szCs w:val="32"/>
        </w:rPr>
        <w:t>广东</w:t>
      </w:r>
      <w:r>
        <w:rPr>
          <w:rFonts w:ascii="仿宋_GB2312" w:hAnsi="仿宋_GB2312" w:eastAsia="仿宋_GB2312" w:cs="仿宋_GB2312"/>
          <w:color w:val="333333"/>
          <w:sz w:val="32"/>
          <w:szCs w:val="32"/>
        </w:rPr>
        <w:t>省</w:t>
      </w:r>
      <w:r>
        <w:rPr>
          <w:rFonts w:hint="eastAsia" w:ascii="仿宋_GB2312" w:hAnsi="仿宋_GB2312" w:eastAsia="仿宋_GB2312" w:cs="仿宋_GB2312"/>
          <w:color w:val="333333"/>
          <w:sz w:val="32"/>
          <w:szCs w:val="32"/>
        </w:rPr>
        <w:t>广州</w:t>
      </w:r>
      <w:r>
        <w:rPr>
          <w:rFonts w:ascii="仿宋_GB2312" w:hAnsi="仿宋_GB2312" w:eastAsia="仿宋_GB2312" w:cs="仿宋_GB2312"/>
          <w:color w:val="333333"/>
          <w:sz w:val="32"/>
          <w:szCs w:val="32"/>
        </w:rPr>
        <w:t>市</w:t>
      </w:r>
    </w:p>
    <w:p>
      <w:pPr>
        <w:shd w:val="clear" w:color="auto" w:fill="FFFFFF"/>
        <w:kinsoku/>
        <w:autoSpaceDE/>
        <w:autoSpaceDN/>
        <w:adjustRightInd/>
        <w:snapToGrid/>
        <w:spacing w:line="560" w:lineRule="exact"/>
        <w:ind w:right="10" w:firstLine="640" w:firstLineChars="200"/>
        <w:rPr>
          <w:rFonts w:eastAsia="仿宋_GB2312"/>
        </w:rPr>
      </w:pPr>
      <w:r>
        <w:rPr>
          <w:rFonts w:hint="eastAsia" w:ascii="仿宋_GB2312" w:hAnsi="仿宋_GB2312" w:eastAsia="仿宋_GB2312" w:cs="仿宋_GB2312"/>
          <w:color w:val="333333"/>
          <w:sz w:val="32"/>
          <w:szCs w:val="32"/>
        </w:rPr>
        <w:t>评审办法：</w:t>
      </w:r>
      <w:r>
        <w:rPr>
          <w:rFonts w:ascii="仿宋_GB2312" w:hAnsi="仿宋_GB2312" w:eastAsia="仿宋_GB2312" w:cs="仿宋_GB2312"/>
          <w:color w:val="333333"/>
          <w:sz w:val="32"/>
          <w:szCs w:val="32"/>
        </w:rPr>
        <w:t>满足项目采购需求情况下</w:t>
      </w:r>
      <w:r>
        <w:rPr>
          <w:rFonts w:hint="eastAsia" w:ascii="仿宋_GB2312" w:hAnsi="仿宋_GB2312" w:eastAsia="仿宋_GB2312" w:cs="仿宋_GB2312"/>
          <w:color w:val="333333"/>
          <w:sz w:val="32"/>
          <w:szCs w:val="32"/>
        </w:rPr>
        <w:t>最低价</w:t>
      </w:r>
    </w:p>
    <w:p>
      <w:pPr>
        <w:shd w:val="clear" w:color="auto" w:fill="FFFFFF"/>
        <w:kinsoku/>
        <w:autoSpaceDE/>
        <w:autoSpaceDN/>
        <w:adjustRightInd/>
        <w:snapToGrid/>
        <w:spacing w:line="560" w:lineRule="exact"/>
        <w:ind w:right="10"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二、响应人的资格要求</w:t>
      </w:r>
    </w:p>
    <w:p>
      <w:pPr>
        <w:shd w:val="clear" w:color="auto" w:fill="FFFFFF"/>
        <w:kinsoku/>
        <w:autoSpaceDE/>
        <w:autoSpaceDN/>
        <w:adjustRightInd/>
        <w:snapToGrid/>
        <w:spacing w:line="560" w:lineRule="exact"/>
        <w:ind w:right="10" w:firstLine="640" w:firstLineChars="200"/>
        <w:rPr>
          <w:rFonts w:ascii="仿宋_GB2312" w:hAnsi="仿宋_GB2312" w:eastAsia="仿宋_GB2312" w:cs="仿宋_GB2312"/>
          <w:color w:val="333333"/>
          <w:kern w:val="2"/>
          <w:sz w:val="32"/>
          <w:szCs w:val="32"/>
        </w:rPr>
      </w:pPr>
      <w:r>
        <w:rPr>
          <w:rFonts w:hint="eastAsia" w:ascii="仿宋_GB2312" w:hAnsi="仿宋_GB2312" w:eastAsia="仿宋_GB2312" w:cs="仿宋_GB2312"/>
          <w:color w:val="333333"/>
          <w:sz w:val="32"/>
          <w:szCs w:val="32"/>
        </w:rPr>
        <w:t>（一）具有相应经营范围的独立法人单位或其他组织，有合格有效的营业执照</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经营范围内具有</w:t>
      </w:r>
      <w:r>
        <w:rPr>
          <w:rFonts w:hint="eastAsia" w:ascii="仿宋_GB2312" w:hAnsi="仿宋_GB2312" w:eastAsia="仿宋_GB2312" w:cs="仿宋_GB2312"/>
          <w:color w:val="333333"/>
          <w:sz w:val="32"/>
          <w:szCs w:val="32"/>
          <w:lang w:val="en-US" w:eastAsia="zh-CN"/>
        </w:rPr>
        <w:t>基础检测</w:t>
      </w:r>
      <w:r>
        <w:rPr>
          <w:rFonts w:hint="eastAsia" w:ascii="仿宋_GB2312" w:hAnsi="仿宋_GB2312" w:eastAsia="仿宋_GB2312" w:cs="仿宋_GB2312"/>
          <w:color w:val="333333"/>
          <w:sz w:val="32"/>
          <w:szCs w:val="32"/>
        </w:rPr>
        <w:t>相关内容，并在人员、资金等方面具有相应的实力；</w:t>
      </w:r>
    </w:p>
    <w:p>
      <w:pPr>
        <w:kinsoku/>
        <w:autoSpaceDE/>
        <w:autoSpaceDN/>
        <w:adjustRightInd/>
        <w:snapToGrid/>
        <w:spacing w:line="560" w:lineRule="exact"/>
        <w:ind w:right="12" w:firstLine="640" w:firstLineChars="200"/>
        <w:rPr>
          <w:rFonts w:ascii="仿宋_GB2312" w:hAnsi="仿宋_GB2312" w:eastAsia="仿宋_GB2312" w:cs="仿宋_GB2312"/>
          <w:color w:val="333333"/>
          <w:kern w:val="2"/>
          <w:sz w:val="32"/>
          <w:szCs w:val="32"/>
        </w:rPr>
      </w:pPr>
      <w:r>
        <w:rPr>
          <w:rFonts w:hint="eastAsia" w:ascii="仿宋_GB2312" w:hAnsi="仿宋_GB2312" w:eastAsia="仿宋_GB2312" w:cs="仿宋_GB2312"/>
          <w:color w:val="333333"/>
          <w:sz w:val="32"/>
          <w:szCs w:val="32"/>
        </w:rPr>
        <w:t>（二）具有良好的商业信誉和健全的财务会计制度；</w:t>
      </w:r>
    </w:p>
    <w:p>
      <w:pPr>
        <w:kinsoku/>
        <w:autoSpaceDE/>
        <w:autoSpaceDN/>
        <w:adjustRightInd/>
        <w:snapToGrid/>
        <w:spacing w:line="560" w:lineRule="exact"/>
        <w:ind w:right="11"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（三）响应人在近三年内无行贿犯罪、行政处罚等记录（未被“信用中国”网站（</w:t>
      </w:r>
      <w:r>
        <w:fldChar w:fldCharType="begin"/>
      </w:r>
      <w:r>
        <w:instrText xml:space="preserve"> HYPERLINK "http://www.creditchina.gov.cn" </w:instrText>
      </w:r>
      <w:r>
        <w:fldChar w:fldCharType="separate"/>
      </w:r>
      <w:r>
        <w:rPr>
          <w:rFonts w:hint="eastAsia" w:ascii="仿宋_GB2312" w:hAnsi="仿宋_GB2312" w:eastAsia="仿宋_GB2312" w:cs="仿宋_GB2312"/>
          <w:color w:val="333333"/>
          <w:sz w:val="32"/>
          <w:szCs w:val="32"/>
        </w:rPr>
        <w:t>www.creditchina.gov.cn</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（四）具有履行合同所必需的专业技术、同类业绩；</w:t>
      </w:r>
    </w:p>
    <w:p>
      <w:pPr>
        <w:kinsoku/>
        <w:autoSpaceDE/>
        <w:autoSpaceDN/>
        <w:adjustRightInd/>
        <w:snapToGrid/>
        <w:spacing w:line="560" w:lineRule="exact"/>
        <w:ind w:right="11"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（五）本次采购不接受联合体报价。</w:t>
      </w:r>
    </w:p>
    <w:p>
      <w:pPr>
        <w:kinsoku/>
        <w:autoSpaceDE/>
        <w:autoSpaceDN/>
        <w:adjustRightInd/>
        <w:snapToGrid/>
        <w:spacing w:line="560" w:lineRule="exact"/>
        <w:ind w:right="11"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（六）有投资参股关系的关联企业，或具有直接管理或被管理关系的母子公司，或同一母公司的子公司，或法定代表人为同一人的两个及两个以上法人不得同时对同一包件进行响应。</w:t>
      </w:r>
    </w:p>
    <w:p>
      <w:pPr>
        <w:kinsoku/>
        <w:autoSpaceDE/>
        <w:autoSpaceDN/>
        <w:adjustRightInd/>
        <w:snapToGrid/>
        <w:spacing w:line="560" w:lineRule="exact"/>
        <w:ind w:firstLine="640" w:firstLineChars="200"/>
        <w:rPr>
          <w:rFonts w:ascii="黑体" w:hAnsi="黑体" w:eastAsia="黑体" w:cs="黑体"/>
          <w:color w:val="333333"/>
          <w:kern w:val="2"/>
          <w:sz w:val="32"/>
          <w:szCs w:val="32"/>
        </w:rPr>
      </w:pPr>
      <w:r>
        <w:rPr>
          <w:rFonts w:hint="eastAsia" w:ascii="黑体" w:hAnsi="黑体" w:eastAsia="黑体" w:cs="黑体"/>
          <w:color w:val="333333"/>
          <w:sz w:val="32"/>
          <w:szCs w:val="32"/>
        </w:rPr>
        <w:t>三、采购日程安排</w:t>
      </w:r>
    </w:p>
    <w:p>
      <w:pPr>
        <w:shd w:val="clear" w:color="auto" w:fill="FFFFFF"/>
        <w:kinsoku/>
        <w:autoSpaceDE/>
        <w:autoSpaceDN/>
        <w:adjustRightInd/>
        <w:snapToGrid/>
        <w:spacing w:line="560" w:lineRule="exact"/>
        <w:ind w:firstLine="43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1.递交响应文件截止时间和开标时间：北京时间202</w:t>
      </w:r>
      <w:r>
        <w:rPr>
          <w:rFonts w:hint="eastAsia" w:ascii="仿宋_GB2312" w:hAnsi="仿宋_GB2312" w:eastAsia="仿宋_GB2312" w:cs="仿宋_GB2312"/>
          <w:color w:val="333333"/>
          <w:sz w:val="32"/>
          <w:szCs w:val="32"/>
        </w:rPr>
        <w:t>4</w:t>
      </w:r>
      <w:r>
        <w:rPr>
          <w:rFonts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val="en-US" w:eastAsia="zh-CN"/>
        </w:rPr>
        <w:t>3</w:t>
      </w:r>
      <w:r>
        <w:rPr>
          <w:rFonts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14</w:t>
      </w:r>
      <w:r>
        <w:rPr>
          <w:rFonts w:ascii="仿宋_GB2312" w:hAnsi="仿宋_GB2312" w:eastAsia="仿宋_GB2312" w:cs="仿宋_GB2312"/>
          <w:color w:val="333333"/>
          <w:sz w:val="32"/>
          <w:szCs w:val="32"/>
        </w:rPr>
        <w:t>日</w:t>
      </w:r>
      <w:r>
        <w:rPr>
          <w:rFonts w:hint="eastAsia" w:ascii="仿宋_GB2312" w:hAnsi="仿宋_GB2312" w:eastAsia="仿宋_GB2312" w:cs="仿宋_GB2312"/>
          <w:color w:val="333333"/>
          <w:sz w:val="32"/>
          <w:szCs w:val="32"/>
        </w:rPr>
        <w:t>10时00分00秒</w:t>
      </w:r>
      <w:r>
        <w:rPr>
          <w:rFonts w:ascii="仿宋_GB2312" w:hAnsi="仿宋_GB2312" w:eastAsia="仿宋_GB2312" w:cs="仿宋_GB2312"/>
          <w:color w:val="333333"/>
          <w:sz w:val="32"/>
          <w:szCs w:val="32"/>
        </w:rPr>
        <w:t>。逾期收到或不符合规定的响应文件恕不接受。</w:t>
      </w:r>
    </w:p>
    <w:p>
      <w:pPr>
        <w:shd w:val="clear" w:color="auto" w:fill="FFFFFF"/>
        <w:kinsoku/>
        <w:autoSpaceDE/>
        <w:autoSpaceDN/>
        <w:adjustRightInd/>
        <w:snapToGrid/>
        <w:spacing w:line="560" w:lineRule="exact"/>
        <w:ind w:firstLine="43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ascii="仿宋_GB2312" w:hAnsi="仿宋_GB2312" w:eastAsia="仿宋_GB2312" w:cs="仿宋_GB2312"/>
          <w:color w:val="333333"/>
          <w:sz w:val="32"/>
          <w:szCs w:val="32"/>
        </w:rPr>
        <w:t>.递交响应文件地点和开标地点：</w:t>
      </w:r>
    </w:p>
    <w:p>
      <w:pPr>
        <w:shd w:val="clear" w:color="auto" w:fill="FFFFFF"/>
        <w:kinsoku/>
        <w:autoSpaceDE/>
        <w:autoSpaceDN/>
        <w:adjustRightInd/>
        <w:snapToGrid/>
        <w:spacing w:line="560" w:lineRule="exact"/>
        <w:ind w:firstLine="43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响应文件</w:t>
      </w:r>
      <w:r>
        <w:rPr>
          <w:rFonts w:ascii="仿宋_GB2312" w:hAnsi="仿宋_GB2312" w:eastAsia="仿宋_GB2312" w:cs="仿宋_GB2312"/>
          <w:color w:val="333333"/>
          <w:sz w:val="32"/>
          <w:szCs w:val="32"/>
        </w:rPr>
        <w:t>请于开标截止时间前递交（</w:t>
      </w:r>
      <w:r>
        <w:rPr>
          <w:rFonts w:hint="eastAsia" w:ascii="仿宋_GB2312" w:hAnsi="仿宋_GB2312" w:eastAsia="仿宋_GB2312" w:cs="仿宋_GB2312"/>
          <w:color w:val="333333"/>
          <w:sz w:val="32"/>
          <w:szCs w:val="32"/>
        </w:rPr>
        <w:t>或</w:t>
      </w:r>
      <w:r>
        <w:rPr>
          <w:rFonts w:ascii="仿宋_GB2312" w:hAnsi="仿宋_GB2312" w:eastAsia="仿宋_GB2312" w:cs="仿宋_GB2312"/>
          <w:color w:val="333333"/>
          <w:sz w:val="32"/>
          <w:szCs w:val="32"/>
        </w:rPr>
        <w:t>邮寄）至</w:t>
      </w:r>
      <w:r>
        <w:rPr>
          <w:rFonts w:hint="eastAsia" w:ascii="仿宋_GB2312" w:hAnsi="仿宋_GB2312" w:eastAsia="仿宋_GB2312" w:cs="仿宋_GB2312"/>
          <w:color w:val="333333"/>
          <w:sz w:val="32"/>
          <w:szCs w:val="32"/>
        </w:rPr>
        <w:t>南京市栖霞区尧新大道</w:t>
      </w:r>
      <w:r>
        <w:rPr>
          <w:rFonts w:ascii="仿宋_GB2312" w:hAnsi="仿宋_GB2312" w:eastAsia="仿宋_GB2312" w:cs="仿宋_GB2312"/>
          <w:color w:val="333333"/>
          <w:sz w:val="32"/>
          <w:szCs w:val="32"/>
        </w:rPr>
        <w:t>5</w:t>
      </w:r>
      <w:r>
        <w:rPr>
          <w:rFonts w:hint="eastAsia" w:ascii="仿宋_GB2312" w:hAnsi="仿宋_GB2312" w:eastAsia="仿宋_GB2312" w:cs="仿宋_GB2312"/>
          <w:color w:val="333333"/>
          <w:sz w:val="32"/>
          <w:szCs w:val="32"/>
        </w:rPr>
        <w:t>号（前院）</w:t>
      </w:r>
      <w:r>
        <w:rPr>
          <w:rFonts w:ascii="仿宋_GB2312" w:hAnsi="仿宋_GB2312" w:eastAsia="仿宋_GB2312" w:cs="仿宋_GB2312"/>
          <w:color w:val="333333"/>
          <w:sz w:val="32"/>
          <w:szCs w:val="32"/>
        </w:rPr>
        <w:t>515</w:t>
      </w:r>
      <w:r>
        <w:rPr>
          <w:rFonts w:hint="eastAsia" w:ascii="仿宋_GB2312" w:hAnsi="仿宋_GB2312" w:eastAsia="仿宋_GB2312" w:cs="仿宋_GB2312"/>
          <w:color w:val="333333"/>
          <w:sz w:val="32"/>
          <w:szCs w:val="32"/>
        </w:rPr>
        <w:t>室。</w:t>
      </w:r>
    </w:p>
    <w:p>
      <w:pPr>
        <w:shd w:val="clear" w:color="auto" w:fill="FFFFFF"/>
        <w:kinsoku/>
        <w:autoSpaceDE/>
        <w:autoSpaceDN/>
        <w:adjustRightInd/>
        <w:snapToGrid/>
        <w:spacing w:line="560" w:lineRule="exact"/>
        <w:ind w:firstLine="430"/>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联系人： 刘工   </w:t>
      </w:r>
    </w:p>
    <w:p>
      <w:pPr>
        <w:shd w:val="clear" w:color="auto" w:fill="FFFFFF"/>
        <w:kinsoku/>
        <w:autoSpaceDE/>
        <w:autoSpaceDN/>
        <w:adjustRightInd/>
        <w:snapToGrid/>
        <w:spacing w:line="560" w:lineRule="exact"/>
        <w:ind w:firstLine="430"/>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联系电话： 025-85666601   邮箱： zmcjzc@163.com  </w:t>
      </w:r>
    </w:p>
    <w:p>
      <w:pPr>
        <w:shd w:val="clear" w:color="auto" w:fill="FFFFFF"/>
        <w:kinsoku/>
        <w:autoSpaceDE/>
        <w:autoSpaceDN/>
        <w:adjustRightInd/>
        <w:snapToGrid/>
        <w:spacing w:line="560"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响应方需提供以下材料</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授权委托书</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营业执照副本复印件</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相关资质证书；</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业绩证明；</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征信报告；</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项目报价明细</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7.廉洁承诺书</w:t>
      </w:r>
      <w:r>
        <w:rPr>
          <w:rFonts w:ascii="仿宋_GB2312" w:hAnsi="仿宋_GB2312" w:eastAsia="仿宋_GB2312" w:cs="仿宋_GB2312"/>
          <w:color w:val="000000" w:themeColor="text1"/>
          <w:sz w:val="32"/>
          <w:szCs w:val="32"/>
          <w14:textFill>
            <w14:solidFill>
              <w14:schemeClr w14:val="tx1"/>
            </w14:solidFill>
          </w14:textFill>
        </w:rPr>
        <w:t>。</w:t>
      </w:r>
    </w:p>
    <w:p>
      <w:pPr>
        <w:widowControl w:val="0"/>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注：上述材料必须加盖单位公章。</w:t>
      </w:r>
    </w:p>
    <w:p>
      <w:pPr>
        <w:widowControl w:val="0"/>
        <w:kinsoku/>
        <w:autoSpaceDE/>
        <w:autoSpaceDN/>
        <w:adjustRightInd/>
        <w:snapToGrid/>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四、技术规格要求</w:t>
      </w:r>
    </w:p>
    <w:p>
      <w:pPr>
        <w:widowControl w:val="0"/>
        <w:kinsoku/>
        <w:autoSpaceDE/>
        <w:autoSpaceDN/>
        <w:adjustRightInd/>
        <w:snapToGrid/>
        <w:spacing w:line="560" w:lineRule="exact"/>
        <w:ind w:firstLine="640" w:firstLineChars="200"/>
        <w:jc w:val="both"/>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满足图纸及相关图集标准要求</w:t>
      </w:r>
    </w:p>
    <w:p>
      <w:pPr>
        <w:widowControl w:val="0"/>
        <w:kinsoku/>
        <w:autoSpaceDE/>
        <w:autoSpaceDN/>
        <w:adjustRightInd/>
        <w:snapToGrid/>
        <w:spacing w:line="520" w:lineRule="exact"/>
        <w:jc w:val="center"/>
        <w:rPr>
          <w:rFonts w:ascii="方正小标宋简体" w:eastAsia="方正小标宋简体" w:cs="宋体" w:hAnsiTheme="minorHAnsi"/>
          <w:color w:val="auto"/>
          <w:sz w:val="44"/>
          <w:szCs w:val="44"/>
          <w:highlight w:val="yellow"/>
        </w:rPr>
      </w:pPr>
    </w:p>
    <w:p>
      <w:pPr>
        <w:widowControl w:val="0"/>
        <w:kinsoku/>
        <w:autoSpaceDE/>
        <w:autoSpaceDN/>
        <w:adjustRightInd/>
        <w:snapToGrid/>
        <w:spacing w:line="520" w:lineRule="exact"/>
        <w:jc w:val="center"/>
        <w:rPr>
          <w:rFonts w:ascii="方正小标宋简体" w:eastAsia="方正小标宋简体" w:cs="宋体" w:hAnsiTheme="minorHAnsi"/>
          <w:color w:val="auto"/>
          <w:sz w:val="44"/>
          <w:szCs w:val="44"/>
          <w:highlight w:val="yellow"/>
        </w:rPr>
      </w:pPr>
    </w:p>
    <w:p>
      <w:pPr>
        <w:widowControl w:val="0"/>
        <w:kinsoku/>
        <w:autoSpaceDE/>
        <w:autoSpaceDN/>
        <w:adjustRightInd/>
        <w:snapToGrid/>
        <w:spacing w:line="520" w:lineRule="exact"/>
        <w:jc w:val="center"/>
        <w:rPr>
          <w:rFonts w:ascii="方正小标宋简体" w:eastAsia="方正小标宋简体" w:cs="宋体" w:hAnsiTheme="minorHAnsi"/>
          <w:color w:val="auto"/>
          <w:sz w:val="44"/>
          <w:szCs w:val="44"/>
          <w:highlight w:val="yellow"/>
        </w:rPr>
      </w:pPr>
    </w:p>
    <w:p>
      <w:pPr>
        <w:widowControl w:val="0"/>
        <w:kinsoku/>
        <w:autoSpaceDE/>
        <w:autoSpaceDN/>
        <w:adjustRightInd/>
        <w:snapToGrid/>
        <w:jc w:val="both"/>
        <w:rPr>
          <w:rFonts w:ascii="仿宋_GB2312" w:hAnsi="仿宋_GB2312" w:eastAsia="仿宋_GB2312" w:cs="仿宋_GB2312"/>
          <w:color w:val="333333"/>
          <w:sz w:val="32"/>
          <w:szCs w:val="32"/>
          <w:highlight w:val="yellow"/>
        </w:rPr>
        <w:sectPr>
          <w:pgSz w:w="11906" w:h="16838"/>
          <w:pgMar w:top="1440" w:right="1800" w:bottom="1440" w:left="1800" w:header="851" w:footer="992" w:gutter="0"/>
          <w:cols w:space="425" w:num="1"/>
          <w:docGrid w:type="lines" w:linePitch="312" w:charSpace="0"/>
        </w:sectPr>
      </w:pPr>
    </w:p>
    <w:p>
      <w:pPr>
        <w:pStyle w:val="8"/>
      </w:pPr>
    </w:p>
    <w:tbl>
      <w:tblPr>
        <w:tblStyle w:val="14"/>
        <w:tblW w:w="506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780"/>
        <w:gridCol w:w="1290"/>
        <w:gridCol w:w="1005"/>
        <w:gridCol w:w="1125"/>
        <w:gridCol w:w="1215"/>
        <w:gridCol w:w="825"/>
        <w:gridCol w:w="1200"/>
        <w:gridCol w:w="1230"/>
        <w:gridCol w:w="5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40"/>
                <w:szCs w:val="40"/>
                <w:u w:val="none"/>
                <w:lang w:val="en-US"/>
              </w:rPr>
            </w:pPr>
            <w:r>
              <w:rPr>
                <w:rFonts w:hint="eastAsia" w:ascii="宋体" w:hAnsi="宋体" w:eastAsia="宋体" w:cs="宋体"/>
                <w:b/>
                <w:bCs/>
                <w:i w:val="0"/>
                <w:iCs w:val="0"/>
                <w:color w:val="000000"/>
                <w:kern w:val="0"/>
                <w:sz w:val="24"/>
                <w:szCs w:val="24"/>
                <w:u w:val="none"/>
                <w:lang w:val="en-US" w:eastAsia="zh-CN" w:bidi="ar"/>
              </w:rPr>
              <w:t>丰树广州国际食品智能生产基地和华南供应链采购配送中心项目地基基础检测报价单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部位</w:t>
            </w:r>
          </w:p>
        </w:tc>
        <w:tc>
          <w:tcPr>
            <w:tcW w:w="271" w:type="pct"/>
            <w:tcBorders>
              <w:top w:val="single" w:color="000000" w:sz="8" w:space="0"/>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类型</w:t>
            </w:r>
          </w:p>
        </w:tc>
        <w:tc>
          <w:tcPr>
            <w:tcW w:w="448" w:type="pct"/>
            <w:tcBorders>
              <w:top w:val="single" w:color="000000" w:sz="8" w:space="0"/>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w:t>
            </w:r>
          </w:p>
        </w:tc>
        <w:tc>
          <w:tcPr>
            <w:tcW w:w="349" w:type="pct"/>
            <w:tcBorders>
              <w:top w:val="single" w:color="000000" w:sz="8" w:space="0"/>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工程数量</w:t>
            </w:r>
          </w:p>
        </w:tc>
        <w:tc>
          <w:tcPr>
            <w:tcW w:w="391" w:type="pct"/>
            <w:tcBorders>
              <w:top w:val="single" w:color="000000" w:sz="8" w:space="0"/>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检测方法</w:t>
            </w:r>
          </w:p>
        </w:tc>
        <w:tc>
          <w:tcPr>
            <w:tcW w:w="422" w:type="pct"/>
            <w:tcBorders>
              <w:top w:val="single" w:color="000000" w:sz="8" w:space="0"/>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检测数量</w:t>
            </w:r>
          </w:p>
        </w:tc>
        <w:tc>
          <w:tcPr>
            <w:tcW w:w="287" w:type="pct"/>
            <w:tcBorders>
              <w:top w:val="single" w:color="000000" w:sz="8" w:space="0"/>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17" w:type="pct"/>
            <w:tcBorders>
              <w:top w:val="single" w:color="000000" w:sz="8" w:space="0"/>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427" w:type="pct"/>
            <w:tcBorders>
              <w:top w:val="single" w:color="000000" w:sz="8" w:space="0"/>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1748" w:type="pct"/>
            <w:tcBorders>
              <w:top w:val="single" w:color="000000" w:sz="8" w:space="0"/>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1#物流仓库</w:t>
            </w:r>
          </w:p>
        </w:tc>
        <w:tc>
          <w:tcPr>
            <w:tcW w:w="2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地基基础</w:t>
            </w: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总桩数：</w:t>
            </w:r>
            <w:r>
              <w:rPr>
                <w:rStyle w:val="27"/>
                <w:rFonts w:eastAsia="宋体"/>
                <w:color w:val="000000"/>
                <w:sz w:val="20"/>
                <w:szCs w:val="20"/>
                <w:lang w:val="en-US" w:eastAsia="zh-CN" w:bidi="ar"/>
              </w:rPr>
              <w:t>527</w:t>
            </w:r>
            <w:r>
              <w:rPr>
                <w:rStyle w:val="26"/>
                <w:color w:val="000000"/>
                <w:sz w:val="20"/>
                <w:szCs w:val="20"/>
                <w:lang w:val="en-US" w:eastAsia="zh-CN" w:bidi="ar"/>
              </w:rPr>
              <w:t>根</w:t>
            </w:r>
            <w:r>
              <w:rPr>
                <w:rStyle w:val="27"/>
                <w:rFonts w:eastAsia="宋体"/>
                <w:color w:val="000000"/>
                <w:sz w:val="20"/>
                <w:szCs w:val="20"/>
                <w:lang w:val="en-US" w:eastAsia="zh-CN" w:bidi="ar"/>
              </w:rPr>
              <w:br w:type="textWrapping"/>
            </w:r>
            <w:r>
              <w:rPr>
                <w:rStyle w:val="27"/>
                <w:rFonts w:eastAsia="宋体"/>
                <w:color w:val="000000"/>
                <w:sz w:val="20"/>
                <w:szCs w:val="20"/>
                <w:lang w:val="en-US" w:eastAsia="zh-CN" w:bidi="ar"/>
              </w:rPr>
              <w:t>800mm</w:t>
            </w:r>
            <w:r>
              <w:rPr>
                <w:rStyle w:val="26"/>
                <w:color w:val="000000"/>
                <w:sz w:val="20"/>
                <w:szCs w:val="20"/>
                <w:lang w:val="en-US" w:eastAsia="zh-CN" w:bidi="ar"/>
              </w:rPr>
              <w:t>：</w:t>
            </w:r>
            <w:r>
              <w:rPr>
                <w:rStyle w:val="27"/>
                <w:rFonts w:eastAsia="宋体"/>
                <w:color w:val="000000"/>
                <w:sz w:val="20"/>
                <w:szCs w:val="20"/>
                <w:lang w:val="en-US" w:eastAsia="zh-CN" w:bidi="ar"/>
              </w:rPr>
              <w:t>517</w:t>
            </w:r>
            <w:r>
              <w:rPr>
                <w:rStyle w:val="26"/>
                <w:color w:val="000000"/>
                <w:sz w:val="20"/>
                <w:szCs w:val="20"/>
                <w:lang w:val="en-US" w:eastAsia="zh-CN" w:bidi="ar"/>
              </w:rPr>
              <w:t>根</w:t>
            </w:r>
            <w:r>
              <w:rPr>
                <w:rStyle w:val="27"/>
                <w:rFonts w:eastAsia="宋体"/>
                <w:color w:val="000000"/>
                <w:sz w:val="20"/>
                <w:szCs w:val="20"/>
                <w:lang w:val="en-US" w:eastAsia="zh-CN" w:bidi="ar"/>
              </w:rPr>
              <w:br w:type="textWrapping"/>
            </w:r>
            <w:r>
              <w:rPr>
                <w:rStyle w:val="27"/>
                <w:rFonts w:eastAsia="宋体"/>
                <w:color w:val="000000"/>
                <w:sz w:val="20"/>
                <w:szCs w:val="20"/>
                <w:lang w:val="en-US" w:eastAsia="zh-CN" w:bidi="ar"/>
              </w:rPr>
              <w:t>600mm</w:t>
            </w:r>
            <w:r>
              <w:rPr>
                <w:rStyle w:val="26"/>
                <w:color w:val="000000"/>
                <w:sz w:val="20"/>
                <w:szCs w:val="20"/>
                <w:lang w:val="en-US" w:eastAsia="zh-CN" w:bidi="ar"/>
              </w:rPr>
              <w:t>：</w:t>
            </w:r>
            <w:r>
              <w:rPr>
                <w:rStyle w:val="27"/>
                <w:rFonts w:eastAsia="宋体"/>
                <w:color w:val="000000"/>
                <w:sz w:val="20"/>
                <w:szCs w:val="20"/>
                <w:lang w:val="en-US" w:eastAsia="zh-CN" w:bidi="ar"/>
              </w:rPr>
              <w:t>10</w:t>
            </w:r>
            <w:r>
              <w:rPr>
                <w:rStyle w:val="26"/>
                <w:color w:val="000000"/>
                <w:sz w:val="20"/>
                <w:szCs w:val="20"/>
                <w:lang w:val="en-US" w:eastAsia="zh-CN" w:bidi="ar"/>
              </w:rPr>
              <w:t>根</w:t>
            </w:r>
            <w:r>
              <w:rPr>
                <w:rStyle w:val="27"/>
                <w:rFonts w:eastAsia="宋体"/>
                <w:color w:val="000000"/>
                <w:sz w:val="20"/>
                <w:szCs w:val="20"/>
                <w:lang w:val="en-US" w:eastAsia="zh-CN" w:bidi="ar"/>
              </w:rPr>
              <w:br w:type="textWrapping"/>
            </w:r>
            <w:r>
              <w:rPr>
                <w:rStyle w:val="26"/>
                <w:color w:val="000000"/>
                <w:sz w:val="20"/>
                <w:szCs w:val="20"/>
                <w:lang w:val="en-US" w:eastAsia="zh-CN" w:bidi="ar"/>
              </w:rPr>
              <w:t>承台：</w:t>
            </w:r>
            <w:r>
              <w:rPr>
                <w:rStyle w:val="27"/>
                <w:rFonts w:eastAsia="宋体"/>
                <w:color w:val="000000"/>
                <w:sz w:val="20"/>
                <w:szCs w:val="20"/>
                <w:lang w:val="en-US" w:eastAsia="zh-CN" w:bidi="ar"/>
              </w:rPr>
              <w:t>101</w:t>
            </w:r>
            <w:r>
              <w:rPr>
                <w:rStyle w:val="26"/>
                <w:color w:val="000000"/>
                <w:sz w:val="20"/>
                <w:szCs w:val="20"/>
                <w:lang w:val="en-US" w:eastAsia="zh-CN" w:bidi="ar"/>
              </w:rPr>
              <w:t>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抽检数量不少于总桩数的30%且不少于10根，且每个柱下承台不得少于1根。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6930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抽检数量不少于单位工程桩总数的1%，且不少于3根；当单位工程桩总数在50根以内时，不少于2根。试验桩3根，检测桩6根。</w:t>
            </w:r>
            <w:r>
              <w:rPr>
                <w:rStyle w:val="28"/>
                <w:color w:val="000000"/>
                <w:sz w:val="20"/>
                <w:szCs w:val="20"/>
                <w:lang w:val="en-US" w:eastAsia="zh-CN" w:bidi="ar"/>
              </w:rPr>
              <w:t>（设计要求单桩最大试验载荷为7700kN，共9*7700kN=69300kN）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抽检数量不少于单位工程桩总数的1%，且不少于3根；当单位工程桩总数在50根以内时，不少于2根。检测桩2根。</w:t>
            </w:r>
            <w:r>
              <w:rPr>
                <w:rStyle w:val="28"/>
                <w:color w:val="000000"/>
                <w:sz w:val="20"/>
                <w:szCs w:val="20"/>
                <w:lang w:val="en-US" w:eastAsia="zh-CN" w:bidi="ar"/>
              </w:rPr>
              <w:t>（设计要求单桩最大试验载荷为5100kN，共2*5100kN=10200kN）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运输通道</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灌注桩桩身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总桩数：</w:t>
            </w:r>
            <w:r>
              <w:rPr>
                <w:rStyle w:val="27"/>
                <w:rFonts w:eastAsia="宋体"/>
                <w:color w:val="000000"/>
                <w:sz w:val="20"/>
                <w:szCs w:val="20"/>
                <w:lang w:val="en-US" w:eastAsia="zh-CN" w:bidi="ar"/>
              </w:rPr>
              <w:t>391</w:t>
            </w:r>
            <w:r>
              <w:rPr>
                <w:rStyle w:val="26"/>
                <w:color w:val="000000"/>
                <w:sz w:val="20"/>
                <w:szCs w:val="20"/>
                <w:lang w:val="en-US" w:eastAsia="zh-CN" w:bidi="ar"/>
              </w:rPr>
              <w:t>根</w:t>
            </w:r>
            <w:r>
              <w:rPr>
                <w:rStyle w:val="26"/>
                <w:color w:val="000000"/>
                <w:sz w:val="20"/>
                <w:szCs w:val="20"/>
                <w:lang w:val="en-US" w:eastAsia="zh-CN" w:bidi="ar"/>
              </w:rPr>
              <w:br w:type="textWrapping"/>
            </w:r>
            <w:r>
              <w:rPr>
                <w:rStyle w:val="26"/>
                <w:color w:val="000000"/>
                <w:sz w:val="20"/>
                <w:szCs w:val="20"/>
                <w:lang w:val="en-US" w:eastAsia="zh-CN" w:bidi="ar"/>
              </w:rPr>
              <w:t>承台：75个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273</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1、对于桩径＜1500mm的柱下桩、非柱下桩，应采用钻芯法或声波透射法抽检，抽检数量不少于相应桩总数的30%且不少于20根；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2、其中，钻芯法抽检的数量不少于桩总数的10%；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3、对未抽检到的其余桩，宜采用低应变法或高应变法检测。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孔·米</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声波透射法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管·米</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灌注桩抗压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13600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抽检数量不少于单位工程桩总数的1%，且不少于3根；当单位工程桩总数在50根以内时，不少于2根。试验桩4根，检测桩4根。</w:t>
            </w:r>
            <w:r>
              <w:rPr>
                <w:rStyle w:val="28"/>
                <w:color w:val="000000"/>
                <w:sz w:val="20"/>
                <w:szCs w:val="20"/>
                <w:lang w:val="en-US" w:eastAsia="zh-CN" w:bidi="ar"/>
              </w:rPr>
              <w:t>（设计要求单桩最大试验载荷为17000kN，共8*17000kN=136000kN）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垃圾收集区</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天然地基持力层性状</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总面积约：14㎡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独立柱基：4个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轻型圆锥动力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触探试验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抽检数量为每200㎡1个孔且不得少于10个孔，每个独立柱基不少于1个孔。</w:t>
            </w:r>
            <w:r>
              <w:rPr>
                <w:rStyle w:val="29"/>
                <w:color w:val="000000"/>
                <w:sz w:val="20"/>
                <w:szCs w:val="20"/>
                <w:lang w:val="en-US" w:eastAsia="zh-CN" w:bidi="ar"/>
              </w:rPr>
              <w:t>（天然地基承载力特征值为120kPa）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天然地基承载力特征值</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平板载荷试验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抽检数量为每500㎡不少于1个点，且不得少于3个点。</w:t>
            </w:r>
            <w:r>
              <w:rPr>
                <w:rStyle w:val="26"/>
                <w:color w:val="000000"/>
                <w:sz w:val="20"/>
                <w:szCs w:val="20"/>
                <w:lang w:val="en-US" w:eastAsia="zh-CN" w:bidi="ar"/>
              </w:rPr>
              <w:br w:type="textWrapping"/>
            </w:r>
            <w:r>
              <w:rPr>
                <w:rStyle w:val="29"/>
                <w:color w:val="000000"/>
                <w:sz w:val="20"/>
                <w:szCs w:val="20"/>
                <w:lang w:val="en-US" w:eastAsia="zh-CN" w:bidi="ar"/>
              </w:rPr>
              <w:t>（天然地基承载力特征值为120kPa）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2#物流仓库</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总桩数：497根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3800kN：483根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3100kN：4根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2500kN：10根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承台：104个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抽检数量不少于总桩数的30%且不少于10根，且每个柱下承台不得少于1根。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6160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抽检数量不少于单位工程桩总数的1%，且不少于3根；当单位工程桩总数在50根以内时，不少于2根。试验桩3根，检测桩5根。</w:t>
            </w:r>
            <w:r>
              <w:rPr>
                <w:rStyle w:val="28"/>
                <w:color w:val="000000"/>
                <w:sz w:val="20"/>
                <w:szCs w:val="20"/>
                <w:lang w:val="en-US" w:eastAsia="zh-CN" w:bidi="ar"/>
              </w:rPr>
              <w:t>（设计要求单桩最大试验载荷为7700kN，共8*7700kN=61600kN）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抽检数量不少于单位工程桩总数的1%，且不少于3根；当单位工程桩总数在50根以内时，不少于2根。检测桩2根。</w:t>
            </w:r>
            <w:r>
              <w:rPr>
                <w:rStyle w:val="28"/>
                <w:color w:val="000000"/>
                <w:sz w:val="20"/>
                <w:szCs w:val="20"/>
                <w:lang w:val="en-US" w:eastAsia="zh-CN" w:bidi="ar"/>
              </w:rPr>
              <w:t>（设计要求单桩最大试验载荷为6300kN，共2*6300kN=12600kN）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抽检数量不少于单位工程桩总数的1%，且不少于3根；当单位工程桩总数在50根以内时，不少于2根。检测桩2根。</w:t>
            </w:r>
            <w:r>
              <w:rPr>
                <w:rStyle w:val="28"/>
                <w:color w:val="000000"/>
                <w:sz w:val="20"/>
                <w:szCs w:val="20"/>
                <w:lang w:val="en-US" w:eastAsia="zh-CN" w:bidi="ar"/>
              </w:rPr>
              <w:t>（设计要求单桩最大试验载荷为5100kN，共2*5100kN=10200kN）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3#物流仓库</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总桩数：675根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3800kN：643根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2900kN：32根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承台：136个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抽检数量不少于总桩数的30%且不少于10根，且每个柱下承台不得少于1根。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7700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抽检数量不少于单位工程桩总数的1%，且不少于3根；当单位工程桩总数在50根以内时，不少于2根。试验桩3根，检测桩7根。</w:t>
            </w:r>
            <w:r>
              <w:rPr>
                <w:rStyle w:val="28"/>
                <w:color w:val="000000"/>
                <w:sz w:val="20"/>
                <w:szCs w:val="20"/>
                <w:lang w:val="en-US" w:eastAsia="zh-CN" w:bidi="ar"/>
              </w:rPr>
              <w:t>（设计要求单桩最大试验载荷为7700kN，共10*7700kN=77000kN）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抽检数量不少于单位工程桩总数的1%，且不少于3根；当单位工程桩总数在50根以内时，不少于2根。检测桩2根。</w:t>
            </w:r>
            <w:r>
              <w:rPr>
                <w:rStyle w:val="28"/>
                <w:color w:val="000000"/>
                <w:sz w:val="20"/>
                <w:szCs w:val="20"/>
                <w:lang w:val="en-US" w:eastAsia="zh-CN" w:bidi="ar"/>
              </w:rPr>
              <w:t>（设计要求单桩最大试验载荷为6300kN，共2*5900kN=11800kN）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4#物流仓库</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总桩数：661根</w:t>
            </w:r>
            <w:r>
              <w:rPr>
                <w:rStyle w:val="27"/>
                <w:rFonts w:eastAsia="宋体"/>
                <w:color w:val="000000"/>
                <w:sz w:val="20"/>
                <w:szCs w:val="20"/>
                <w:lang w:val="en-US" w:eastAsia="zh-CN" w:bidi="ar"/>
              </w:rPr>
              <w:br w:type="textWrapping"/>
            </w:r>
            <w:r>
              <w:rPr>
                <w:rStyle w:val="26"/>
                <w:color w:val="000000"/>
                <w:sz w:val="20"/>
                <w:szCs w:val="20"/>
                <w:lang w:val="en-US" w:eastAsia="zh-CN" w:bidi="ar"/>
              </w:rPr>
              <w:t>承台：136个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抽检数量不少于总桩数的30%且不少于10根，且每个柱下承台不得少于1根。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7700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抽检数量不少于单位工程桩总数的1%，且不少于3根；当单位工程桩总数在50根以内时，不少于2根。试验桩3根，检测桩7根。</w:t>
            </w:r>
            <w:r>
              <w:rPr>
                <w:rStyle w:val="28"/>
                <w:color w:val="000000"/>
                <w:sz w:val="20"/>
                <w:szCs w:val="20"/>
                <w:lang w:val="en-US" w:eastAsia="zh-CN" w:bidi="ar"/>
              </w:rPr>
              <w:t>（设计要求单桩最大试验载荷为7700kN，共10*7700kN=77000kN）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倒班楼</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总桩数：68根</w:t>
            </w:r>
            <w:r>
              <w:rPr>
                <w:rStyle w:val="27"/>
                <w:rFonts w:eastAsia="宋体"/>
                <w:color w:val="000000"/>
                <w:sz w:val="20"/>
                <w:szCs w:val="20"/>
                <w:lang w:val="en-US" w:eastAsia="zh-CN" w:bidi="ar"/>
              </w:rPr>
              <w:br w:type="textWrapping"/>
            </w:r>
            <w:r>
              <w:rPr>
                <w:rStyle w:val="26"/>
                <w:color w:val="000000"/>
                <w:sz w:val="20"/>
                <w:szCs w:val="20"/>
                <w:lang w:val="en-US" w:eastAsia="zh-CN" w:bidi="ar"/>
              </w:rPr>
              <w:t>承台：26个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抽检数量不少于总桩数的30%且不少于10根，且每个柱下承台不得少于1根。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抽检数量不少于单位工程桩总数的1%，且不少于3根；当单位工程桩总数在50根以内时，不少于2根。试验桩3根，检测桩3根。</w:t>
            </w:r>
            <w:r>
              <w:rPr>
                <w:rStyle w:val="28"/>
                <w:color w:val="000000"/>
                <w:sz w:val="20"/>
                <w:szCs w:val="20"/>
                <w:lang w:val="en-US" w:eastAsia="zh-CN" w:bidi="ar"/>
              </w:rPr>
              <w:t>（设计要求单桩最大试验载荷为4100kN，共6*4100kN=24600kN）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锅炉房</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总桩数：22根</w:t>
            </w:r>
            <w:r>
              <w:rPr>
                <w:rStyle w:val="27"/>
                <w:rFonts w:eastAsia="宋体"/>
                <w:color w:val="000000"/>
                <w:sz w:val="20"/>
                <w:szCs w:val="20"/>
                <w:lang w:val="en-US" w:eastAsia="zh-CN" w:bidi="ar"/>
              </w:rPr>
              <w:br w:type="textWrapping"/>
            </w:r>
            <w:r>
              <w:rPr>
                <w:rStyle w:val="26"/>
                <w:color w:val="000000"/>
                <w:sz w:val="20"/>
                <w:szCs w:val="20"/>
                <w:lang w:val="en-US" w:eastAsia="zh-CN" w:bidi="ar"/>
              </w:rPr>
              <w:t>承台：10个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抽检数量不少于总桩数的30%且不少于10根，且每个柱下承台不得少于1根。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抽检数量不少于单位工程桩总数的1%，且不少于3根；当单位工程桩总数在50根以内时，不少于2根。试验桩2根，检测桩2根。</w:t>
            </w:r>
            <w:r>
              <w:rPr>
                <w:rStyle w:val="28"/>
                <w:color w:val="000000"/>
                <w:sz w:val="20"/>
                <w:szCs w:val="20"/>
                <w:lang w:val="en-US" w:eastAsia="zh-CN" w:bidi="ar"/>
              </w:rPr>
              <w:t>（设计要求单桩最大试验载荷为4500kN，共4*4500kN=18000kN）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设备房2</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总桩数：22根</w:t>
            </w:r>
            <w:r>
              <w:rPr>
                <w:rStyle w:val="27"/>
                <w:rFonts w:eastAsia="宋体"/>
                <w:color w:val="000000"/>
                <w:sz w:val="20"/>
                <w:szCs w:val="20"/>
                <w:lang w:val="en-US" w:eastAsia="zh-CN" w:bidi="ar"/>
              </w:rPr>
              <w:br w:type="textWrapping"/>
            </w:r>
            <w:r>
              <w:rPr>
                <w:rStyle w:val="26"/>
                <w:color w:val="000000"/>
                <w:sz w:val="20"/>
                <w:szCs w:val="20"/>
                <w:lang w:val="en-US" w:eastAsia="zh-CN" w:bidi="ar"/>
              </w:rPr>
              <w:t>承台：15个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抽检数量不少于总桩数的30%且不少于10根，且每个柱下承台不得少于1根。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抽检数量不少于单位工程桩总数的1%，且不少于3根；当单位工程桩总数在50根以内时，不少于2根。试验桩2根，检测桩2根。</w:t>
            </w:r>
            <w:r>
              <w:rPr>
                <w:rStyle w:val="28"/>
                <w:color w:val="000000"/>
                <w:sz w:val="20"/>
                <w:szCs w:val="20"/>
                <w:lang w:val="en-US" w:eastAsia="zh-CN" w:bidi="ar"/>
              </w:rPr>
              <w:t>（设计要求单桩最大试验载荷为4500kN，共4*4500kN=18000kN）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坡道1</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灌注桩桩身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总桩数：117根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承台：37个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1、对于桩径＜1500mm的柱下桩、非柱下桩，应采用钻芯法或声波透射法抽检，抽检数量不少于相应桩总数的30%且不少于20根；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2、其中，钻芯法抽检的数量不少于桩总数的10%；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3、对未抽检到的其余桩，宜采用低应变法或高应变法检测。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孔·米</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声波透射法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管·米</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灌注桩抗压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4750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抽检数量不少于单位工程桩总数的1%，且不少于3根；当单位工程桩总数在50根以内时，不少于2根。试验桩2根，检测桩3根。</w:t>
            </w:r>
            <w:r>
              <w:rPr>
                <w:rStyle w:val="28"/>
                <w:color w:val="000000"/>
                <w:sz w:val="20"/>
                <w:szCs w:val="20"/>
                <w:lang w:val="en-US" w:eastAsia="zh-CN" w:bidi="ar"/>
              </w:rPr>
              <w:t>（设计要求单桩最大试验载荷为9500kN，共5*9500kN=47500kN）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坡道2</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灌注桩桩身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总桩数：113根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承台：38个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1、对于桩径＜1500mm的柱下桩、非柱下桩，应采用钻芯法或声波透射法抽检，抽检数量不少于相应桩总数的30%且不少于20根；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2、其中，钻芯法抽检的数量不少于桩总数的10%；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3、对未抽检到的其余桩，宜采用低应变法或高应变法检测。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孔·米</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声波透射法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管·米</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灌注桩抗压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4750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抽检数量不少于单位工程桩总数的1%，且不少于3根；当单位工程桩总数在50根以内时，不少于2根。试验桩2根，检测桩3根。</w:t>
            </w:r>
            <w:r>
              <w:rPr>
                <w:rStyle w:val="28"/>
                <w:color w:val="000000"/>
                <w:sz w:val="20"/>
                <w:szCs w:val="20"/>
                <w:lang w:val="en-US" w:eastAsia="zh-CN" w:bidi="ar"/>
              </w:rPr>
              <w:t>（设计要求单桩最大试验载荷为9500kN，共5*9500kN=47500kN）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门卫室</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处理地基持力层性状</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总面积约：136㎡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独立柱基：14个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轻型圆锥动力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触探试验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抽检数量为每200㎡1个孔且不得少于10个孔，每个独立柱基不少于1个孔。</w:t>
            </w:r>
            <w:r>
              <w:rPr>
                <w:rStyle w:val="29"/>
                <w:color w:val="000000"/>
                <w:sz w:val="20"/>
                <w:szCs w:val="20"/>
                <w:lang w:val="en-US" w:eastAsia="zh-CN" w:bidi="ar"/>
              </w:rPr>
              <w:t>（处理地基承载力特征值为120kPa）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处理地基承载力特征值</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平板载荷试验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抽检数量为每500㎡不少于1个点，且不得少于3个点。</w:t>
            </w:r>
            <w:r>
              <w:rPr>
                <w:rStyle w:val="26"/>
                <w:color w:val="000000"/>
                <w:sz w:val="20"/>
                <w:szCs w:val="20"/>
                <w:lang w:val="en-US" w:eastAsia="zh-CN" w:bidi="ar"/>
              </w:rPr>
              <w:br w:type="textWrapping"/>
            </w:r>
            <w:r>
              <w:rPr>
                <w:rStyle w:val="29"/>
                <w:color w:val="000000"/>
                <w:sz w:val="20"/>
                <w:szCs w:val="20"/>
                <w:lang w:val="en-US" w:eastAsia="zh-CN" w:bidi="ar"/>
              </w:rPr>
              <w:t>（处理地基承载力特征值为120kPa）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自行车棚</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处理地基持力层性状</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总面积约：300㎡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独立柱基：16个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轻型圆锥动力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触探试验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抽检数量为每200㎡1个孔且不得少于10个孔，每个独立柱基不少于1个孔。</w:t>
            </w:r>
            <w:r>
              <w:rPr>
                <w:rStyle w:val="29"/>
                <w:color w:val="000000"/>
                <w:sz w:val="20"/>
                <w:szCs w:val="20"/>
                <w:lang w:val="en-US" w:eastAsia="zh-CN" w:bidi="ar"/>
              </w:rPr>
              <w:t>（处理地基承载力特征值为120kPa）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处理地基承载力特征值</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平板载荷试验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抽检数量为每500㎡不少于1个点，且不得少于3个点。</w:t>
            </w:r>
            <w:r>
              <w:rPr>
                <w:rStyle w:val="26"/>
                <w:color w:val="000000"/>
                <w:sz w:val="20"/>
                <w:szCs w:val="20"/>
                <w:lang w:val="en-US" w:eastAsia="zh-CN" w:bidi="ar"/>
              </w:rPr>
              <w:br w:type="textWrapping"/>
            </w:r>
            <w:r>
              <w:rPr>
                <w:rStyle w:val="29"/>
                <w:color w:val="000000"/>
                <w:sz w:val="20"/>
                <w:szCs w:val="20"/>
                <w:lang w:val="en-US" w:eastAsia="zh-CN" w:bidi="ar"/>
              </w:rPr>
              <w:t>（处理地基承载力特征值为120kPa）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污水处理站</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预制桩桩身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完整性检测</w:t>
            </w:r>
          </w:p>
        </w:tc>
        <w:tc>
          <w:tcPr>
            <w:tcW w:w="34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6"/>
                <w:color w:val="000000"/>
                <w:sz w:val="20"/>
                <w:szCs w:val="20"/>
                <w:lang w:val="en-US" w:eastAsia="zh-CN" w:bidi="ar"/>
              </w:rPr>
              <w:t>总桩数：89根</w:t>
            </w:r>
            <w:r>
              <w:rPr>
                <w:rStyle w:val="27"/>
                <w:rFonts w:eastAsia="宋体"/>
                <w:color w:val="000000"/>
                <w:sz w:val="20"/>
                <w:szCs w:val="20"/>
                <w:lang w:val="en-US" w:eastAsia="zh-CN" w:bidi="ar"/>
              </w:rPr>
              <w:br w:type="textWrapping"/>
            </w:r>
            <w:r>
              <w:rPr>
                <w:rStyle w:val="26"/>
                <w:color w:val="000000"/>
                <w:sz w:val="20"/>
                <w:szCs w:val="20"/>
                <w:lang w:val="en-US" w:eastAsia="zh-CN" w:bidi="ar"/>
              </w:rPr>
              <w:t>承台：89个</w:t>
            </w: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低应变法</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抽检数量不少于总桩数的30%且不少于10根，且每个柱下承台不得少于1根。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预制桩抗压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承载力检测</w:t>
            </w:r>
          </w:p>
        </w:tc>
        <w:tc>
          <w:tcPr>
            <w:tcW w:w="34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单桩抗拔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静载试验</w:t>
            </w: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抽检数量不少于单位工程桩总数的1%，且不少于3根；当单位工程桩总数在50根以内时，不少于2根。试验桩3根，检测桩3根。</w:t>
            </w:r>
            <w:r>
              <w:rPr>
                <w:rStyle w:val="28"/>
                <w:color w:val="000000"/>
                <w:sz w:val="20"/>
                <w:szCs w:val="20"/>
                <w:lang w:val="en-US" w:eastAsia="zh-CN" w:bidi="ar"/>
              </w:rPr>
              <w:t>（设计要求单桩最大试验载荷为2000kN，共6*2000kN=12000kN）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钢筋原材</w:t>
            </w:r>
          </w:p>
        </w:tc>
        <w:tc>
          <w:tcPr>
            <w:tcW w:w="2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材料检测</w:t>
            </w: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每批由同一牌号、同一外形、同一规格、同一生产工艺和同一交货状态的钢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筋组成，每批不大于 60 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钢筋焊接</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在同一台班内，由同一焊工完成的300 个同牌号、同直径钢筋焊接接头作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为一批。当不足 300 个接头，可在一周内累计计算，累计仍不足 300 个接头时，应按一批计算。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混凝土抗压</w:t>
            </w:r>
          </w:p>
        </w:tc>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3" w:type="pct"/>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累计（元）</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4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0"/>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注：1、检测比例按照穗建规字【2020】30号文及广东省标准《建筑地基基础检测规范》DBJ/T 15-60-2019要求执行，各地区地方有要求的按地方要求执行；2、实际检测方法及数量应根据现场具体情况而定。</w:t>
            </w:r>
          </w:p>
        </w:tc>
      </w:tr>
    </w:tbl>
    <w:p>
      <w:pPr>
        <w:widowControl w:val="0"/>
        <w:kinsoku/>
        <w:autoSpaceDE/>
        <w:autoSpaceDN/>
        <w:adjustRightInd/>
        <w:snapToGrid/>
        <w:jc w:val="both"/>
        <w:rPr>
          <w:rFonts w:ascii="仿宋_GB2312" w:hAnsi="仿宋_GB2312" w:eastAsia="仿宋_GB2312" w:cs="仿宋_GB2312"/>
          <w:color w:val="333333"/>
          <w:sz w:val="20"/>
          <w:szCs w:val="20"/>
          <w:highlight w:val="yellow"/>
        </w:rPr>
        <w:sectPr>
          <w:pgSz w:w="16838" w:h="11906" w:orient="landscape"/>
          <w:pgMar w:top="1803" w:right="1440" w:bottom="1803" w:left="1440" w:header="851" w:footer="992" w:gutter="0"/>
          <w:cols w:space="0" w:num="1"/>
          <w:rtlGutter w:val="0"/>
          <w:docGrid w:type="lines" w:linePitch="319" w:charSpace="0"/>
        </w:sectPr>
      </w:pPr>
    </w:p>
    <w:p>
      <w:pPr>
        <w:widowControl w:val="0"/>
        <w:kinsoku/>
        <w:autoSpaceDE/>
        <w:autoSpaceDN/>
        <w:adjustRightInd/>
        <w:snapToGrid/>
        <w:spacing w:line="400" w:lineRule="exact"/>
        <w:jc w:val="center"/>
        <w:rPr>
          <w:rFonts w:ascii="仿宋" w:hAnsi="仿宋" w:eastAsia="仿宋" w:cs="仿宋"/>
          <w:b/>
          <w:color w:val="auto"/>
          <w:kern w:val="2"/>
          <w:sz w:val="36"/>
          <w:szCs w:val="36"/>
        </w:rPr>
      </w:pPr>
    </w:p>
    <w:p>
      <w:pPr>
        <w:widowControl w:val="0"/>
        <w:kinsoku/>
        <w:autoSpaceDE/>
        <w:autoSpaceDN/>
        <w:adjustRightInd/>
        <w:snapToGrid/>
        <w:spacing w:line="400" w:lineRule="exact"/>
        <w:jc w:val="center"/>
        <w:rPr>
          <w:rFonts w:ascii="仿宋" w:hAnsi="仿宋" w:eastAsia="仿宋" w:cs="仿宋"/>
          <w:b/>
          <w:color w:val="auto"/>
          <w:kern w:val="2"/>
          <w:sz w:val="36"/>
          <w:szCs w:val="36"/>
        </w:rPr>
      </w:pPr>
      <w:r>
        <w:rPr>
          <w:rFonts w:hint="eastAsia" w:ascii="仿宋" w:hAnsi="仿宋" w:eastAsia="仿宋" w:cs="仿宋"/>
          <w:b/>
          <w:color w:val="auto"/>
          <w:kern w:val="2"/>
          <w:sz w:val="36"/>
          <w:szCs w:val="36"/>
          <w:lang w:bidi="ar"/>
        </w:rPr>
        <w:t>法定代表人身份证明</w:t>
      </w:r>
    </w:p>
    <w:p>
      <w:pPr>
        <w:widowControl w:val="0"/>
        <w:kinsoku/>
        <w:autoSpaceDE/>
        <w:autoSpaceDN/>
        <w:adjustRightInd/>
        <w:snapToGrid/>
        <w:spacing w:line="360" w:lineRule="auto"/>
        <w:ind w:firstLine="400" w:firstLineChars="200"/>
        <w:jc w:val="both"/>
        <w:rPr>
          <w:rFonts w:ascii="仿宋" w:hAnsi="仿宋" w:eastAsia="仿宋" w:cs="仿宋"/>
          <w:color w:val="auto"/>
          <w:kern w:val="2"/>
          <w:sz w:val="20"/>
          <w:szCs w:val="20"/>
        </w:rPr>
      </w:pPr>
      <w:r>
        <w:rPr>
          <w:rFonts w:hint="eastAsia" w:ascii="仿宋" w:hAnsi="仿宋" w:eastAsia="仿宋" w:cs="仿宋"/>
          <w:color w:val="auto"/>
          <w:kern w:val="2"/>
          <w:sz w:val="20"/>
          <w:szCs w:val="20"/>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响应人名称：</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单位性质：</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地址：</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经营期限：</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姓名：</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性别：</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年龄：</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职务：</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系</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的法定代表人。</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特此证明。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附：法定代表人身份证复印件</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right"/>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响应人：</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（盖单位章）</w:t>
      </w:r>
    </w:p>
    <w:p>
      <w:pPr>
        <w:widowControl w:val="0"/>
        <w:kinsoku/>
        <w:autoSpaceDE/>
        <w:autoSpaceDN/>
        <w:adjustRightInd/>
        <w:snapToGrid/>
        <w:spacing w:line="360" w:lineRule="auto"/>
        <w:ind w:right="210" w:firstLine="560" w:firstLineChars="200"/>
        <w:jc w:val="right"/>
        <w:rPr>
          <w:rFonts w:ascii="仿宋" w:hAnsi="仿宋" w:eastAsia="仿宋" w:cs="仿宋"/>
          <w:color w:val="auto"/>
          <w:kern w:val="2"/>
          <w:sz w:val="28"/>
          <w:szCs w:val="28"/>
          <w:lang w:bidi="ar"/>
        </w:rPr>
      </w:pPr>
      <w:r>
        <w:rPr>
          <w:rFonts w:hint="eastAsia" w:ascii="仿宋" w:hAnsi="仿宋" w:eastAsia="仿宋" w:cs="仿宋"/>
          <w:color w:val="auto"/>
          <w:kern w:val="2"/>
          <w:sz w:val="28"/>
          <w:szCs w:val="28"/>
          <w:lang w:bidi="ar"/>
        </w:rPr>
        <w:t xml:space="preserve">             </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年</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月</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日</w:t>
      </w:r>
    </w:p>
    <w:p>
      <w:pPr>
        <w:pStyle w:val="10"/>
        <w:rPr>
          <w:rFonts w:eastAsiaTheme="minorEastAsia"/>
          <w:lang w:bidi="ar"/>
        </w:rPr>
      </w:pPr>
    </w:p>
    <w:p>
      <w:pPr>
        <w:pStyle w:val="10"/>
        <w:rPr>
          <w:rFonts w:eastAsiaTheme="minorEastAsia"/>
          <w:lang w:bidi="ar"/>
        </w:rPr>
      </w:pPr>
    </w:p>
    <w:p>
      <w:pPr>
        <w:widowControl w:val="0"/>
        <w:kinsoku/>
        <w:autoSpaceDE/>
        <w:autoSpaceDN/>
        <w:adjustRightInd/>
        <w:snapToGrid/>
        <w:spacing w:line="360" w:lineRule="auto"/>
        <w:jc w:val="center"/>
        <w:rPr>
          <w:rFonts w:ascii="仿宋_GB2312" w:hAnsi="仿宋" w:eastAsia="仿宋_GB2312" w:cs="仿宋"/>
          <w:color w:val="auto"/>
          <w:kern w:val="2"/>
          <w:position w:val="-3"/>
          <w:sz w:val="24"/>
          <w:szCs w:val="24"/>
        </w:rPr>
      </w:pPr>
      <w:r>
        <w:rPr>
          <w:rFonts w:hint="eastAsia" w:ascii="仿宋_GB2312" w:hAnsi="仿宋_GB2312" w:eastAsia="宋体" w:cs="仿宋"/>
          <w:b/>
          <w:color w:val="auto"/>
          <w:spacing w:val="2"/>
          <w:kern w:val="2"/>
          <w:sz w:val="32"/>
          <w:szCs w:val="32"/>
          <w:lang w:bidi="ar"/>
        </w:rPr>
        <w:t>法</w:t>
      </w:r>
      <w:r>
        <w:rPr>
          <w:rFonts w:hint="eastAsia" w:ascii="仿宋_GB2312" w:hAnsi="仿宋_GB2312" w:eastAsia="宋体" w:cs="仿宋"/>
          <w:b/>
          <w:color w:val="auto"/>
          <w:kern w:val="2"/>
          <w:sz w:val="32"/>
          <w:szCs w:val="32"/>
          <w:lang w:bidi="ar"/>
        </w:rPr>
        <w:t>人</w:t>
      </w:r>
      <w:r>
        <w:rPr>
          <w:rFonts w:hint="eastAsia" w:ascii="仿宋_GB2312" w:hAnsi="仿宋_GB2312" w:eastAsia="宋体" w:cs="仿宋"/>
          <w:b/>
          <w:color w:val="auto"/>
          <w:spacing w:val="2"/>
          <w:kern w:val="2"/>
          <w:sz w:val="32"/>
          <w:szCs w:val="32"/>
          <w:lang w:bidi="ar"/>
        </w:rPr>
        <w:t>代</w:t>
      </w:r>
      <w:r>
        <w:rPr>
          <w:rFonts w:hint="eastAsia" w:ascii="仿宋_GB2312" w:hAnsi="仿宋_GB2312" w:eastAsia="宋体" w:cs="仿宋"/>
          <w:b/>
          <w:color w:val="auto"/>
          <w:kern w:val="2"/>
          <w:sz w:val="32"/>
          <w:szCs w:val="32"/>
          <w:lang w:bidi="ar"/>
        </w:rPr>
        <w:t>表授</w:t>
      </w:r>
      <w:r>
        <w:rPr>
          <w:rFonts w:hint="eastAsia" w:ascii="仿宋_GB2312" w:hAnsi="仿宋_GB2312" w:eastAsia="宋体" w:cs="仿宋"/>
          <w:b/>
          <w:color w:val="auto"/>
          <w:spacing w:val="2"/>
          <w:kern w:val="2"/>
          <w:sz w:val="32"/>
          <w:szCs w:val="32"/>
          <w:lang w:bidi="ar"/>
        </w:rPr>
        <w:t>权</w:t>
      </w:r>
      <w:r>
        <w:rPr>
          <w:rFonts w:hint="eastAsia" w:ascii="仿宋_GB2312" w:hAnsi="仿宋_GB2312" w:eastAsia="宋体" w:cs="仿宋"/>
          <w:b/>
          <w:color w:val="auto"/>
          <w:kern w:val="2"/>
          <w:sz w:val="32"/>
          <w:szCs w:val="32"/>
          <w:lang w:bidi="ar"/>
        </w:rPr>
        <w:t>委</w:t>
      </w:r>
      <w:r>
        <w:rPr>
          <w:rFonts w:hint="eastAsia" w:ascii="仿宋_GB2312" w:hAnsi="仿宋_GB2312" w:eastAsia="宋体" w:cs="仿宋"/>
          <w:b/>
          <w:color w:val="auto"/>
          <w:spacing w:val="2"/>
          <w:kern w:val="2"/>
          <w:sz w:val="32"/>
          <w:szCs w:val="32"/>
          <w:lang w:bidi="ar"/>
        </w:rPr>
        <w:t>托</w:t>
      </w:r>
      <w:r>
        <w:rPr>
          <w:rFonts w:hint="eastAsia" w:ascii="仿宋_GB2312" w:hAnsi="仿宋_GB2312" w:eastAsia="宋体" w:cs="仿宋"/>
          <w:b/>
          <w:color w:val="auto"/>
          <w:spacing w:val="4"/>
          <w:kern w:val="2"/>
          <w:sz w:val="32"/>
          <w:szCs w:val="32"/>
          <w:lang w:bidi="ar"/>
        </w:rPr>
        <w:t>书</w:t>
      </w:r>
    </w:p>
    <w:p>
      <w:pPr>
        <w:widowControl w:val="0"/>
        <w:kinsoku/>
        <w:autoSpaceDE/>
        <w:autoSpaceDN/>
        <w:adjustRightInd/>
        <w:snapToGrid/>
        <w:spacing w:line="360" w:lineRule="auto"/>
        <w:ind w:right="-20"/>
        <w:jc w:val="both"/>
        <w:rPr>
          <w:rFonts w:ascii="仿宋_GB2312" w:hAnsi="仿宋" w:eastAsia="仿宋_GB2312" w:cs="仿宋"/>
          <w:color w:val="auto"/>
          <w:kern w:val="2"/>
          <w:position w:val="-3"/>
          <w:sz w:val="24"/>
          <w:szCs w:val="24"/>
        </w:rPr>
      </w:pPr>
      <w:r>
        <w:rPr>
          <w:rFonts w:ascii="仿宋_GB2312" w:hAnsi="仿宋" w:eastAsia="仿宋_GB2312" w:cs="仿宋"/>
          <w:color w:val="auto"/>
          <w:kern w:val="2"/>
          <w:position w:val="-3"/>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致：中煤长江地质集团有限公司：</w:t>
      </w:r>
    </w:p>
    <w:p>
      <w:pPr>
        <w:widowControl w:val="0"/>
        <w:kinsoku/>
        <w:autoSpaceDE/>
        <w:autoSpaceDN/>
        <w:adjustRightInd/>
        <w:snapToGrid/>
        <w:spacing w:line="360" w:lineRule="auto"/>
        <w:ind w:left="840" w:leftChars="400" w:firstLine="720" w:firstLineChars="3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本授权书宣告：</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法人代表</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，授权</w:t>
      </w:r>
      <w:r>
        <w:rPr>
          <w:rFonts w:ascii="宋体" w:hAnsi="宋体" w:eastAsia="宋体" w:cs="宋体"/>
          <w:color w:val="auto"/>
          <w:kern w:val="2"/>
          <w:sz w:val="24"/>
          <w:szCs w:val="24"/>
          <w:u w:val="single"/>
          <w:lang w:bidi="ar"/>
        </w:rPr>
        <w:t>*****</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为我单位代理人，该代理人有权在该项目的采购活动中，以我单位的名义签署采购文件，参与该项目材料采购项目的协商、响应、签订合同及有关文件，并执行一切与此有关事项。</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我们对被授权人签名负全部责任。在贵公司接到撤消授权的书面通知以前，本授权书对本项目采购一直有效。被授权人在授权有效期内签署所有文件不因授权的撤消而消失。</w:t>
      </w:r>
    </w:p>
    <w:p>
      <w:pPr>
        <w:widowControl w:val="0"/>
        <w:kinsoku/>
        <w:autoSpaceDE/>
        <w:autoSpaceDN/>
        <w:adjustRightInd/>
        <w:snapToGrid/>
        <w:spacing w:line="360" w:lineRule="auto"/>
        <w:ind w:firstLine="420" w:firstLineChars="200"/>
        <w:jc w:val="both"/>
        <w:rPr>
          <w:rFonts w:ascii="宋体" w:hAnsi="宋体" w:eastAsia="宋体" w:cs="宋体"/>
          <w:color w:val="auto"/>
          <w:kern w:val="2"/>
          <w:sz w:val="24"/>
          <w:szCs w:val="24"/>
        </w:rPr>
      </w:pPr>
      <w:r>
        <w:rPr>
          <w:rFonts w:ascii="Calibri" w:hAnsi="Calibri" w:eastAsia="宋体" w:cs="Calibri"/>
          <w:color w:val="auto"/>
          <w:kern w:val="2"/>
        </w:rPr>
        <w:drawing>
          <wp:inline distT="0" distB="0" distL="0" distR="0">
            <wp:extent cx="5543550" cy="2233930"/>
            <wp:effectExtent l="0" t="0" r="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5562819" cy="2242244"/>
                    </a:xfrm>
                    <a:prstGeom prst="rect">
                      <a:avLst/>
                    </a:prstGeom>
                    <a:noFill/>
                    <a:ln w="12700">
                      <a:noFill/>
                    </a:ln>
                  </pic:spPr>
                </pic:pic>
              </a:graphicData>
            </a:graphic>
          </wp:inline>
        </w:drawing>
      </w:r>
      <w:r>
        <w:rPr>
          <w:rFonts w:hint="eastAsia" w:ascii="宋体" w:hAnsi="宋体" w:eastAsia="宋体" w:cs="宋体"/>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 被授权人身份证复印件或扫描件</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报价单位（公司全称、章）：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授权人（法人代表签字）：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被授权的代理人（签字）：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授权日期：       年     月      日</w:t>
      </w:r>
    </w:p>
    <w:p>
      <w:pPr>
        <w:widowControl w:val="0"/>
        <w:kinsoku/>
        <w:autoSpaceDE/>
        <w:autoSpaceDN/>
        <w:adjustRightInd/>
        <w:snapToGrid/>
        <w:spacing w:line="360" w:lineRule="auto"/>
        <w:jc w:val="both"/>
        <w:rPr>
          <w:rFonts w:ascii="仿宋" w:hAnsi="仿宋" w:eastAsia="仿宋" w:cs="宋体"/>
          <w:b/>
          <w:color w:val="auto"/>
          <w:kern w:val="2"/>
          <w:sz w:val="32"/>
          <w:szCs w:val="32"/>
          <w:lang w:bidi="ar"/>
        </w:rPr>
      </w:pPr>
    </w:p>
    <w:p>
      <w:pPr>
        <w:widowControl w:val="0"/>
        <w:kinsoku/>
        <w:autoSpaceDE/>
        <w:autoSpaceDN/>
        <w:adjustRightInd/>
        <w:snapToGrid/>
        <w:spacing w:line="360" w:lineRule="auto"/>
        <w:jc w:val="both"/>
        <w:rPr>
          <w:rFonts w:ascii="仿宋" w:hAnsi="仿宋" w:eastAsia="仿宋" w:cs="仿宋"/>
          <w:color w:val="auto"/>
          <w:kern w:val="2"/>
          <w:sz w:val="24"/>
          <w:szCs w:val="24"/>
          <w:lang w:bidi="ar"/>
        </w:rPr>
      </w:pPr>
    </w:p>
    <w:p>
      <w:pPr>
        <w:pStyle w:val="10"/>
        <w:rPr>
          <w:rFonts w:eastAsiaTheme="minorEastAsia"/>
          <w:lang w:bidi="ar"/>
        </w:rPr>
      </w:pPr>
    </w:p>
    <w:p>
      <w:pPr>
        <w:widowControl w:val="0"/>
        <w:kinsoku/>
        <w:autoSpaceDE/>
        <w:autoSpaceDN/>
        <w:adjustRightInd/>
        <w:snapToGrid/>
        <w:spacing w:line="400" w:lineRule="exact"/>
        <w:jc w:val="center"/>
        <w:rPr>
          <w:rFonts w:ascii="仿宋" w:hAnsi="仿宋" w:eastAsia="仿宋" w:cs="仿宋"/>
          <w:color w:val="auto"/>
          <w:szCs w:val="22"/>
        </w:rPr>
      </w:pPr>
      <w:r>
        <w:rPr>
          <w:rFonts w:hint="eastAsia" w:ascii="仿宋" w:hAnsi="仿宋" w:eastAsia="仿宋" w:cs="仿宋"/>
          <w:b/>
          <w:color w:val="auto"/>
          <w:kern w:val="2"/>
          <w:sz w:val="32"/>
          <w:szCs w:val="32"/>
          <w:lang w:bidi="ar"/>
        </w:rPr>
        <w:t>采购工作廉洁协议</w:t>
      </w:r>
    </w:p>
    <w:p>
      <w:pPr>
        <w:widowControl w:val="0"/>
        <w:kinsoku/>
        <w:autoSpaceDE/>
        <w:autoSpaceDN/>
        <w:adjustRightInd/>
        <w:spacing w:line="6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甲方：</w:t>
      </w:r>
      <w:r>
        <w:rPr>
          <w:rFonts w:hint="eastAsia" w:ascii="仿宋" w:hAnsi="仿宋" w:eastAsia="仿宋" w:cs="仿宋"/>
          <w:color w:val="auto"/>
          <w:kern w:val="2"/>
          <w:sz w:val="24"/>
          <w:szCs w:val="24"/>
          <w:u w:val="single"/>
          <w:lang w:bidi="ar"/>
        </w:rPr>
        <w:t>中煤长江地质集团有限公司</w:t>
      </w:r>
      <w:r>
        <w:rPr>
          <w:rFonts w:hint="eastAsia" w:ascii="仿宋" w:hAnsi="仿宋" w:eastAsia="仿宋" w:cs="仿宋"/>
          <w:color w:val="auto"/>
          <w:kern w:val="2"/>
          <w:sz w:val="24"/>
          <w:szCs w:val="24"/>
          <w:lang w:bidi="ar"/>
        </w:rPr>
        <w:t>（采购单位）</w:t>
      </w:r>
    </w:p>
    <w:p>
      <w:pPr>
        <w:widowControl w:val="0"/>
        <w:kinsoku/>
        <w:autoSpaceDE/>
        <w:autoSpaceDN/>
        <w:adjustRightInd/>
        <w:spacing w:line="6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乙方：</w:t>
      </w:r>
      <w:r>
        <w:rPr>
          <w:rFonts w:hint="eastAsia" w:ascii="仿宋" w:hAnsi="仿宋" w:eastAsia="仿宋" w:cs="仿宋"/>
          <w:color w:val="auto"/>
          <w:kern w:val="2"/>
          <w:sz w:val="24"/>
          <w:szCs w:val="24"/>
          <w:u w:val="single"/>
          <w:lang w:bidi="ar"/>
        </w:rPr>
        <w:t xml:space="preserve">                     </w:t>
      </w:r>
      <w:r>
        <w:rPr>
          <w:rFonts w:hint="eastAsia" w:ascii="仿宋" w:hAnsi="仿宋" w:eastAsia="仿宋" w:cs="仿宋"/>
          <w:color w:val="auto"/>
          <w:kern w:val="2"/>
          <w:sz w:val="24"/>
          <w:szCs w:val="24"/>
          <w:lang w:bidi="ar"/>
        </w:rPr>
        <w:t>（响应单位）</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为规范双方业务往来活动，建立诚实守信的业务合作关系，推进廉洁建设，维护双方合法权益，经双方共同协商，防止违法违纪现象发生，就双方业务往来中的廉洁事宜达成如下协议。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第一条 甲乙双方共同的权利和义务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（一）严格遵守党和国家有关法律法规及有关廉洁规定。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（二）严格执行业务合同约定，自觉按合同履行。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（三）双方的业务活动坚持公开、公正、诚信、透明的原则 （商业秘密和合同文件另有规定的除外），不得损害国家和集体 利益。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（四）发现对方在业务活动中有违反廉洁规定的行为，有及时要求对方纠正，并向对方纪检监察部门机关举报的权利和义务。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（五）依法保护举报人员，并给举报有功人员予以奖励。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（六）发现甲方及其工作人员严重违反本协议义务条款的行为，有向其纪检监察部门或上级主管部门举报、建议给予处理并要求告知处理结果的权利。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第二条 甲方的廉洁责任</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（一）甲方及其工作人员不得以任何形式索要或接受乙方的礼金、礼品和有价证券，不得在乙方报销任何应由甲方及其工作人员支付的费用。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（二）甲方工作人员不得参加乙方安排的高消费宴，不得接受乙方提供的通讯、交通工具和办公用品，不得向乙方泄露招标中的商业秘密。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（三）甲方及其工作人员不得要求或者接受乙方为其住房装修、婚丧嫁娶活动、配偶、子女及其他亲属的工作安排以及出国出境、旅游等提供方便。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（四）甲方工作人员的配偶、子女及其他亲属不得从事与业务合同有关的设备材料供应、工程分包、劳务等经济活动。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（五）甲方及其工作人员不得以任何理由向乙方推荐物资供应单位、工程承包或劳务分包单位，不得要求乙方购买合同规定外的材料和设备。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第三条 乙方的廉洁责任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（一）乙方不得以任何理由向甲方及其工作人员馈赠礼金、礼品和有价证券。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（二）乙方不得以任何名义为甲方及其工作人员报销应由甲方单位或个人支付的任何费用。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（三）乙方不得以任何理由安排甲方工作人员参加高消费宴请及娱乐活动。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（四）乙方不得为甲方单位和个人购买或提供通讯工具、交通工具和办公用品、报销任何消费、装修等应由个人承担的费用 等。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（五）乙方不得为甲方工作人员及其配偶、子女或其他亲属的工作安排、升学、旅游及出国出境等提供方便。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(六) 乙方与甲方发生业务往来过程中，不得有弄虚作假、以次充好、虚结虚算等违反诚信原则的行为。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（七）乙方不得接受甲方介绍的家属或亲友从事该项目有关的材料、设备等供应或该项目分包等经济活动。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（八）乙方不得借助婚丧嫁娶之机向甲方工作人员赠送钱物 或有价证券）。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第四条 违约责任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（一）甲方违反本协议第一、二条，甲方应按照管理权限，依据有关规定给予党纪、政纪或组织处理；涉嫌犯罪的，移交司法机关追究法律责任。 </w:t>
      </w:r>
    </w:p>
    <w:p>
      <w:pPr>
        <w:widowControl w:val="0"/>
        <w:kinsoku/>
        <w:autoSpaceDE/>
        <w:autoSpaceDN/>
        <w:adjustRightInd/>
        <w:spacing w:line="400" w:lineRule="exact"/>
        <w:ind w:firstLine="616" w:firstLineChars="257"/>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第五条 本协议作为双方签订的所有业务合同的组成部分，与业务合同具有同等法律效力，本协议由双方纪检监察部门机关负责监督。 </w:t>
      </w:r>
    </w:p>
    <w:p>
      <w:pPr>
        <w:widowControl w:val="0"/>
        <w:kinsoku/>
        <w:autoSpaceDE/>
        <w:autoSpaceDN/>
        <w:adjustRightInd/>
        <w:spacing w:line="400" w:lineRule="exact"/>
        <w:ind w:firstLine="360" w:firstLineChars="150"/>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第六条 本协议一式三份，甲、乙双方各执一份，甲方纪检监察部门一份。</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第七条 本协议自双方签字盖章之日起生效。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甲 方：（盖章）                            乙方：（盖章）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承办采购单位或部门                        法定代表人：</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负责人：                                  或委托代理人 ：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年   月    日                             年   </w:t>
      </w:r>
      <w:r>
        <w:rPr>
          <w:rFonts w:hint="eastAsia" w:ascii="仿宋" w:hAnsi="仿宋" w:eastAsia="仿宋" w:cs="仿宋"/>
          <w:color w:val="auto"/>
          <w:kern w:val="2"/>
          <w:sz w:val="24"/>
          <w:szCs w:val="24"/>
          <w:lang w:val="en-US" w:eastAsia="zh-CN" w:bidi="ar"/>
        </w:rPr>
        <w:t xml:space="preserve"> </w:t>
      </w:r>
      <w:bookmarkStart w:id="0" w:name="_GoBack"/>
      <w:bookmarkEnd w:id="0"/>
      <w:r>
        <w:rPr>
          <w:rFonts w:hint="eastAsia" w:ascii="仿宋" w:hAnsi="仿宋" w:eastAsia="仿宋" w:cs="仿宋"/>
          <w:color w:val="auto"/>
          <w:kern w:val="2"/>
          <w:sz w:val="24"/>
          <w:szCs w:val="24"/>
          <w:lang w:bidi="ar"/>
        </w:rPr>
        <w:t>月    日</w:t>
      </w: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仿宋_GB2312" w:eastAsia="仿宋_GB2312"/>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895A6"/>
    <w:multiLevelType w:val="singleLevel"/>
    <w:tmpl w:val="ACE895A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zJmZDUwMDk5MDM0NTVkN2FiZmE1NjVkYWU1NDEifQ=="/>
  </w:docVars>
  <w:rsids>
    <w:rsidRoot w:val="00670942"/>
    <w:rsid w:val="0000459C"/>
    <w:rsid w:val="000103FA"/>
    <w:rsid w:val="00010629"/>
    <w:rsid w:val="000147CE"/>
    <w:rsid w:val="00017531"/>
    <w:rsid w:val="00020976"/>
    <w:rsid w:val="00020F5F"/>
    <w:rsid w:val="000250F3"/>
    <w:rsid w:val="00041274"/>
    <w:rsid w:val="00045A4F"/>
    <w:rsid w:val="00061DB6"/>
    <w:rsid w:val="00062C84"/>
    <w:rsid w:val="00065C41"/>
    <w:rsid w:val="0008450F"/>
    <w:rsid w:val="00091F72"/>
    <w:rsid w:val="000939A0"/>
    <w:rsid w:val="00094113"/>
    <w:rsid w:val="000942BB"/>
    <w:rsid w:val="000A1E91"/>
    <w:rsid w:val="000A725E"/>
    <w:rsid w:val="000B7912"/>
    <w:rsid w:val="000D1D42"/>
    <w:rsid w:val="000D2B39"/>
    <w:rsid w:val="000E0887"/>
    <w:rsid w:val="000E46C0"/>
    <w:rsid w:val="000E7421"/>
    <w:rsid w:val="000E7792"/>
    <w:rsid w:val="000F7965"/>
    <w:rsid w:val="001015D9"/>
    <w:rsid w:val="001068B6"/>
    <w:rsid w:val="00110CCA"/>
    <w:rsid w:val="00111E5A"/>
    <w:rsid w:val="00160CD8"/>
    <w:rsid w:val="00173DD3"/>
    <w:rsid w:val="00176B6E"/>
    <w:rsid w:val="00182278"/>
    <w:rsid w:val="00190B0F"/>
    <w:rsid w:val="00192D55"/>
    <w:rsid w:val="00197203"/>
    <w:rsid w:val="00197C3F"/>
    <w:rsid w:val="001A1CC1"/>
    <w:rsid w:val="001A30E5"/>
    <w:rsid w:val="001A3437"/>
    <w:rsid w:val="001B58CA"/>
    <w:rsid w:val="001C1D69"/>
    <w:rsid w:val="001E04C3"/>
    <w:rsid w:val="001E3F71"/>
    <w:rsid w:val="001E41B8"/>
    <w:rsid w:val="001F0817"/>
    <w:rsid w:val="001F246D"/>
    <w:rsid w:val="00213FE7"/>
    <w:rsid w:val="00223E4A"/>
    <w:rsid w:val="00231091"/>
    <w:rsid w:val="00240072"/>
    <w:rsid w:val="00260162"/>
    <w:rsid w:val="00262E6A"/>
    <w:rsid w:val="00263397"/>
    <w:rsid w:val="00271053"/>
    <w:rsid w:val="00273867"/>
    <w:rsid w:val="00297E2C"/>
    <w:rsid w:val="002A065B"/>
    <w:rsid w:val="002B3D48"/>
    <w:rsid w:val="002C0635"/>
    <w:rsid w:val="002C3B33"/>
    <w:rsid w:val="002C4D9F"/>
    <w:rsid w:val="002D1159"/>
    <w:rsid w:val="002D444D"/>
    <w:rsid w:val="002D671B"/>
    <w:rsid w:val="002E338F"/>
    <w:rsid w:val="002E7E92"/>
    <w:rsid w:val="002F73E2"/>
    <w:rsid w:val="00301530"/>
    <w:rsid w:val="00301CDC"/>
    <w:rsid w:val="00305F18"/>
    <w:rsid w:val="00307A69"/>
    <w:rsid w:val="00330402"/>
    <w:rsid w:val="00331B09"/>
    <w:rsid w:val="00331C06"/>
    <w:rsid w:val="0033241C"/>
    <w:rsid w:val="003411FD"/>
    <w:rsid w:val="003557B2"/>
    <w:rsid w:val="00370664"/>
    <w:rsid w:val="00370B48"/>
    <w:rsid w:val="003716A2"/>
    <w:rsid w:val="003908D3"/>
    <w:rsid w:val="00394C75"/>
    <w:rsid w:val="003A4F52"/>
    <w:rsid w:val="003A7540"/>
    <w:rsid w:val="003A7A9B"/>
    <w:rsid w:val="003B3E39"/>
    <w:rsid w:val="003C1682"/>
    <w:rsid w:val="003C7061"/>
    <w:rsid w:val="003D5BEC"/>
    <w:rsid w:val="003E5B19"/>
    <w:rsid w:val="003E7BFA"/>
    <w:rsid w:val="003F4A68"/>
    <w:rsid w:val="00403032"/>
    <w:rsid w:val="00413E03"/>
    <w:rsid w:val="00434999"/>
    <w:rsid w:val="0043583F"/>
    <w:rsid w:val="00444157"/>
    <w:rsid w:val="00453B49"/>
    <w:rsid w:val="00466507"/>
    <w:rsid w:val="00470C57"/>
    <w:rsid w:val="004736FF"/>
    <w:rsid w:val="0048202C"/>
    <w:rsid w:val="00482FCC"/>
    <w:rsid w:val="004A1E5E"/>
    <w:rsid w:val="004B2AB7"/>
    <w:rsid w:val="004B48E3"/>
    <w:rsid w:val="004C7442"/>
    <w:rsid w:val="004D678A"/>
    <w:rsid w:val="004E4832"/>
    <w:rsid w:val="004E4BC4"/>
    <w:rsid w:val="00501E42"/>
    <w:rsid w:val="00505983"/>
    <w:rsid w:val="00517883"/>
    <w:rsid w:val="00521305"/>
    <w:rsid w:val="00530458"/>
    <w:rsid w:val="00534828"/>
    <w:rsid w:val="00542947"/>
    <w:rsid w:val="00563AB8"/>
    <w:rsid w:val="00566D30"/>
    <w:rsid w:val="005806C4"/>
    <w:rsid w:val="00591941"/>
    <w:rsid w:val="00593CB3"/>
    <w:rsid w:val="0059647A"/>
    <w:rsid w:val="005C4DA0"/>
    <w:rsid w:val="005D1E75"/>
    <w:rsid w:val="005D7EB7"/>
    <w:rsid w:val="005E32FF"/>
    <w:rsid w:val="005E5354"/>
    <w:rsid w:val="005F0209"/>
    <w:rsid w:val="005F15DE"/>
    <w:rsid w:val="005F6B96"/>
    <w:rsid w:val="00604690"/>
    <w:rsid w:val="006060B7"/>
    <w:rsid w:val="0062572E"/>
    <w:rsid w:val="0064701B"/>
    <w:rsid w:val="00670942"/>
    <w:rsid w:val="0067415C"/>
    <w:rsid w:val="006776A0"/>
    <w:rsid w:val="006844FE"/>
    <w:rsid w:val="00691AD9"/>
    <w:rsid w:val="00695E09"/>
    <w:rsid w:val="006963E9"/>
    <w:rsid w:val="006A0C81"/>
    <w:rsid w:val="006A15F9"/>
    <w:rsid w:val="006C32B0"/>
    <w:rsid w:val="006C3684"/>
    <w:rsid w:val="006F5474"/>
    <w:rsid w:val="00700B7E"/>
    <w:rsid w:val="00703777"/>
    <w:rsid w:val="00731C84"/>
    <w:rsid w:val="00733963"/>
    <w:rsid w:val="0075352A"/>
    <w:rsid w:val="00767A1E"/>
    <w:rsid w:val="00777DD2"/>
    <w:rsid w:val="007867AC"/>
    <w:rsid w:val="00792424"/>
    <w:rsid w:val="007A5C33"/>
    <w:rsid w:val="007B541C"/>
    <w:rsid w:val="007B5F51"/>
    <w:rsid w:val="007D0E43"/>
    <w:rsid w:val="007F2E34"/>
    <w:rsid w:val="007F65D1"/>
    <w:rsid w:val="00811849"/>
    <w:rsid w:val="00813A34"/>
    <w:rsid w:val="00817B4B"/>
    <w:rsid w:val="00821ACA"/>
    <w:rsid w:val="00825C13"/>
    <w:rsid w:val="00840B90"/>
    <w:rsid w:val="00842F61"/>
    <w:rsid w:val="00847BB6"/>
    <w:rsid w:val="008502FD"/>
    <w:rsid w:val="00851836"/>
    <w:rsid w:val="00854430"/>
    <w:rsid w:val="008655E6"/>
    <w:rsid w:val="00886A7C"/>
    <w:rsid w:val="0089066E"/>
    <w:rsid w:val="00894DBC"/>
    <w:rsid w:val="008968EF"/>
    <w:rsid w:val="008A05B1"/>
    <w:rsid w:val="008A65A5"/>
    <w:rsid w:val="008B25BB"/>
    <w:rsid w:val="008B3167"/>
    <w:rsid w:val="008B624E"/>
    <w:rsid w:val="008F0FEF"/>
    <w:rsid w:val="00913FBE"/>
    <w:rsid w:val="009252C5"/>
    <w:rsid w:val="0092697F"/>
    <w:rsid w:val="0092699C"/>
    <w:rsid w:val="00932B59"/>
    <w:rsid w:val="009460F6"/>
    <w:rsid w:val="00950D95"/>
    <w:rsid w:val="00954849"/>
    <w:rsid w:val="00960C83"/>
    <w:rsid w:val="0096242F"/>
    <w:rsid w:val="00980487"/>
    <w:rsid w:val="00981494"/>
    <w:rsid w:val="00995F7D"/>
    <w:rsid w:val="009A330B"/>
    <w:rsid w:val="009B3880"/>
    <w:rsid w:val="009B76DF"/>
    <w:rsid w:val="009C0B02"/>
    <w:rsid w:val="009C1EC5"/>
    <w:rsid w:val="009D4D9C"/>
    <w:rsid w:val="009E135F"/>
    <w:rsid w:val="009E26D6"/>
    <w:rsid w:val="009E740B"/>
    <w:rsid w:val="009F7F8A"/>
    <w:rsid w:val="00A13B57"/>
    <w:rsid w:val="00A147E7"/>
    <w:rsid w:val="00A14BBE"/>
    <w:rsid w:val="00A332AD"/>
    <w:rsid w:val="00A451C3"/>
    <w:rsid w:val="00A62D1F"/>
    <w:rsid w:val="00A81C0D"/>
    <w:rsid w:val="00A85E9A"/>
    <w:rsid w:val="00A92CA9"/>
    <w:rsid w:val="00AA48F9"/>
    <w:rsid w:val="00AA7608"/>
    <w:rsid w:val="00AC3FED"/>
    <w:rsid w:val="00AC6890"/>
    <w:rsid w:val="00AD24E7"/>
    <w:rsid w:val="00AD256A"/>
    <w:rsid w:val="00AE6703"/>
    <w:rsid w:val="00B01DC1"/>
    <w:rsid w:val="00B15637"/>
    <w:rsid w:val="00B34216"/>
    <w:rsid w:val="00B37EF1"/>
    <w:rsid w:val="00B43C53"/>
    <w:rsid w:val="00B46ADE"/>
    <w:rsid w:val="00B528A6"/>
    <w:rsid w:val="00B5316F"/>
    <w:rsid w:val="00B80FA1"/>
    <w:rsid w:val="00B81785"/>
    <w:rsid w:val="00B9140D"/>
    <w:rsid w:val="00BC6094"/>
    <w:rsid w:val="00BC64A1"/>
    <w:rsid w:val="00BD1D2D"/>
    <w:rsid w:val="00BD244A"/>
    <w:rsid w:val="00BE14C4"/>
    <w:rsid w:val="00BE4EF4"/>
    <w:rsid w:val="00C03278"/>
    <w:rsid w:val="00C040A1"/>
    <w:rsid w:val="00C12F5E"/>
    <w:rsid w:val="00C30829"/>
    <w:rsid w:val="00C424D7"/>
    <w:rsid w:val="00C4302E"/>
    <w:rsid w:val="00C509D5"/>
    <w:rsid w:val="00C561F0"/>
    <w:rsid w:val="00C67646"/>
    <w:rsid w:val="00C91E2C"/>
    <w:rsid w:val="00C93751"/>
    <w:rsid w:val="00C9688F"/>
    <w:rsid w:val="00C97407"/>
    <w:rsid w:val="00C97B32"/>
    <w:rsid w:val="00CC2D50"/>
    <w:rsid w:val="00CC69DE"/>
    <w:rsid w:val="00CD0F77"/>
    <w:rsid w:val="00CD1F9F"/>
    <w:rsid w:val="00CD480E"/>
    <w:rsid w:val="00CE2526"/>
    <w:rsid w:val="00CE665A"/>
    <w:rsid w:val="00CE7027"/>
    <w:rsid w:val="00D0390C"/>
    <w:rsid w:val="00D039BF"/>
    <w:rsid w:val="00D03AAB"/>
    <w:rsid w:val="00D31DA6"/>
    <w:rsid w:val="00D50798"/>
    <w:rsid w:val="00D51B3E"/>
    <w:rsid w:val="00D816E3"/>
    <w:rsid w:val="00D825C4"/>
    <w:rsid w:val="00DB07ED"/>
    <w:rsid w:val="00DB5D1D"/>
    <w:rsid w:val="00DD1A21"/>
    <w:rsid w:val="00DD66C6"/>
    <w:rsid w:val="00DE5ADA"/>
    <w:rsid w:val="00DE7E62"/>
    <w:rsid w:val="00DF1A52"/>
    <w:rsid w:val="00DF5153"/>
    <w:rsid w:val="00DF765A"/>
    <w:rsid w:val="00DF7F94"/>
    <w:rsid w:val="00E1493F"/>
    <w:rsid w:val="00E16358"/>
    <w:rsid w:val="00E266C9"/>
    <w:rsid w:val="00E26BC2"/>
    <w:rsid w:val="00E310C6"/>
    <w:rsid w:val="00E53BB1"/>
    <w:rsid w:val="00E61A47"/>
    <w:rsid w:val="00E745BD"/>
    <w:rsid w:val="00E750D3"/>
    <w:rsid w:val="00E7727B"/>
    <w:rsid w:val="00E814C5"/>
    <w:rsid w:val="00E8455D"/>
    <w:rsid w:val="00E8487D"/>
    <w:rsid w:val="00E86B13"/>
    <w:rsid w:val="00EB007C"/>
    <w:rsid w:val="00EB306D"/>
    <w:rsid w:val="00EE6C37"/>
    <w:rsid w:val="00EE72EE"/>
    <w:rsid w:val="00EF25E8"/>
    <w:rsid w:val="00F0076B"/>
    <w:rsid w:val="00F01F2D"/>
    <w:rsid w:val="00F02E2E"/>
    <w:rsid w:val="00F051E7"/>
    <w:rsid w:val="00F053FA"/>
    <w:rsid w:val="00F12EA0"/>
    <w:rsid w:val="00F162D2"/>
    <w:rsid w:val="00F31313"/>
    <w:rsid w:val="00F4027B"/>
    <w:rsid w:val="00F449C3"/>
    <w:rsid w:val="00F83843"/>
    <w:rsid w:val="00F875B8"/>
    <w:rsid w:val="00F9182E"/>
    <w:rsid w:val="00F93470"/>
    <w:rsid w:val="00FA140F"/>
    <w:rsid w:val="00FC4C08"/>
    <w:rsid w:val="00FE7686"/>
    <w:rsid w:val="00FF0831"/>
    <w:rsid w:val="00FF24AB"/>
    <w:rsid w:val="00FF606C"/>
    <w:rsid w:val="08843074"/>
    <w:rsid w:val="096E162E"/>
    <w:rsid w:val="0B9E7244"/>
    <w:rsid w:val="0C2C1AE3"/>
    <w:rsid w:val="0C702ABC"/>
    <w:rsid w:val="0E5D6471"/>
    <w:rsid w:val="0E8A6050"/>
    <w:rsid w:val="0F6C0238"/>
    <w:rsid w:val="0F7F4595"/>
    <w:rsid w:val="0F925129"/>
    <w:rsid w:val="133F398B"/>
    <w:rsid w:val="14537D9F"/>
    <w:rsid w:val="147F6E84"/>
    <w:rsid w:val="14BC3B96"/>
    <w:rsid w:val="1B1242A6"/>
    <w:rsid w:val="1C9B4B62"/>
    <w:rsid w:val="1DE3418E"/>
    <w:rsid w:val="21D0206A"/>
    <w:rsid w:val="22BB548D"/>
    <w:rsid w:val="24D6035C"/>
    <w:rsid w:val="24DE04BA"/>
    <w:rsid w:val="260F409C"/>
    <w:rsid w:val="26BF48F0"/>
    <w:rsid w:val="296543A4"/>
    <w:rsid w:val="2B156A8F"/>
    <w:rsid w:val="2CB322E8"/>
    <w:rsid w:val="2D4A7DB4"/>
    <w:rsid w:val="2E920787"/>
    <w:rsid w:val="304610FE"/>
    <w:rsid w:val="31236EDF"/>
    <w:rsid w:val="32B43B8A"/>
    <w:rsid w:val="34254E5C"/>
    <w:rsid w:val="36743E5D"/>
    <w:rsid w:val="36887DAA"/>
    <w:rsid w:val="36AD21AC"/>
    <w:rsid w:val="374E2ABC"/>
    <w:rsid w:val="38167BC9"/>
    <w:rsid w:val="3B597DB3"/>
    <w:rsid w:val="42EF4A0F"/>
    <w:rsid w:val="432B1D63"/>
    <w:rsid w:val="46503FBA"/>
    <w:rsid w:val="47F77F46"/>
    <w:rsid w:val="48490238"/>
    <w:rsid w:val="4B8244EA"/>
    <w:rsid w:val="4C0E339C"/>
    <w:rsid w:val="51EB5C8B"/>
    <w:rsid w:val="54150E7E"/>
    <w:rsid w:val="55AC288F"/>
    <w:rsid w:val="561B4D30"/>
    <w:rsid w:val="572A5A14"/>
    <w:rsid w:val="5CED210B"/>
    <w:rsid w:val="5D6C443B"/>
    <w:rsid w:val="5D83037A"/>
    <w:rsid w:val="5DBF5D64"/>
    <w:rsid w:val="5E005E6E"/>
    <w:rsid w:val="5E8223DB"/>
    <w:rsid w:val="5EA902B4"/>
    <w:rsid w:val="5EB153BA"/>
    <w:rsid w:val="631D37BF"/>
    <w:rsid w:val="65530F79"/>
    <w:rsid w:val="65931028"/>
    <w:rsid w:val="68EC43AE"/>
    <w:rsid w:val="6A01129A"/>
    <w:rsid w:val="6A7234A0"/>
    <w:rsid w:val="6DA854AB"/>
    <w:rsid w:val="71EF3DD8"/>
    <w:rsid w:val="71F25676"/>
    <w:rsid w:val="73647DA3"/>
    <w:rsid w:val="74FA431C"/>
    <w:rsid w:val="763C4C57"/>
    <w:rsid w:val="7C8A27D8"/>
    <w:rsid w:val="7D88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pPr>
    <w:rPr>
      <w:rFonts w:ascii="Arial" w:hAnsi="Arial" w:eastAsia="Arial" w:cs="Arial"/>
      <w:color w:val="000000"/>
      <w:sz w:val="21"/>
      <w:szCs w:val="21"/>
      <w:lang w:val="en-US" w:eastAsia="zh-CN" w:bidi="ar-SA"/>
    </w:rPr>
  </w:style>
  <w:style w:type="paragraph" w:styleId="7">
    <w:name w:val="heading 2"/>
    <w:basedOn w:val="1"/>
    <w:link w:val="16"/>
    <w:autoRedefine/>
    <w:qFormat/>
    <w:uiPriority w:val="0"/>
    <w:pPr>
      <w:keepNext/>
      <w:keepLines/>
      <w:spacing w:before="260" w:after="260" w:line="413" w:lineRule="auto"/>
      <w:outlineLvl w:val="1"/>
    </w:pPr>
    <w:rPr>
      <w:rFonts w:eastAsia="黑体"/>
      <w:sz w:val="28"/>
      <w:szCs w:val="20"/>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spacing w:beforeLines="50" w:afterLines="50"/>
    </w:pPr>
    <w:rPr>
      <w:kern w:val="24"/>
      <w:sz w:val="30"/>
      <w:szCs w:val="24"/>
    </w:rPr>
  </w:style>
  <w:style w:type="paragraph" w:styleId="6">
    <w:name w:val="Title"/>
    <w:basedOn w:val="1"/>
    <w:next w:val="1"/>
    <w:autoRedefine/>
    <w:qFormat/>
    <w:uiPriority w:val="10"/>
    <w:pPr>
      <w:outlineLvl w:val="2"/>
    </w:pPr>
    <w:rPr>
      <w:rFonts w:eastAsia="仿宋_GB2312" w:cs="黑体"/>
      <w:b/>
      <w:bCs/>
      <w:sz w:val="24"/>
      <w:szCs w:val="32"/>
    </w:rPr>
  </w:style>
  <w:style w:type="paragraph" w:styleId="8">
    <w:name w:val="Normal Indent"/>
    <w:basedOn w:val="1"/>
    <w:next w:val="1"/>
    <w:autoRedefine/>
    <w:unhideWhenUsed/>
    <w:qFormat/>
    <w:uiPriority w:val="99"/>
    <w:pPr>
      <w:ind w:firstLine="420" w:firstLineChars="200"/>
    </w:pPr>
  </w:style>
  <w:style w:type="paragraph" w:styleId="9">
    <w:name w:val="Body Text Indent"/>
    <w:basedOn w:val="1"/>
    <w:link w:val="20"/>
    <w:autoRedefine/>
    <w:unhideWhenUsed/>
    <w:qFormat/>
    <w:uiPriority w:val="99"/>
    <w:pPr>
      <w:widowControl w:val="0"/>
      <w:kinsoku/>
      <w:snapToGrid/>
      <w:spacing w:after="120"/>
      <w:ind w:left="420" w:leftChars="200"/>
    </w:pPr>
    <w:rPr>
      <w:rFonts w:ascii="Times New Roman" w:hAnsi="Times New Roman" w:eastAsia="宋体" w:cs="Times New Roman"/>
      <w:color w:val="auto"/>
      <w:sz w:val="24"/>
      <w:szCs w:val="24"/>
    </w:rPr>
  </w:style>
  <w:style w:type="paragraph" w:styleId="10">
    <w:name w:val="Body Text Indent 2"/>
    <w:basedOn w:val="1"/>
    <w:autoRedefine/>
    <w:qFormat/>
    <w:uiPriority w:val="0"/>
    <w:pPr>
      <w:spacing w:after="120" w:line="480" w:lineRule="auto"/>
      <w:ind w:left="420" w:firstLine="539"/>
    </w:pPr>
    <w:rPr>
      <w:rFonts w:ascii="Times New Roman" w:hAnsi="Times New Roman"/>
      <w:sz w:val="28"/>
    </w:rPr>
  </w:style>
  <w:style w:type="paragraph" w:styleId="11">
    <w:name w:val="footer"/>
    <w:basedOn w:val="1"/>
    <w:link w:val="18"/>
    <w:autoRedefine/>
    <w:qFormat/>
    <w:uiPriority w:val="0"/>
    <w:pPr>
      <w:tabs>
        <w:tab w:val="center" w:pos="4153"/>
        <w:tab w:val="right" w:pos="8306"/>
      </w:tabs>
    </w:pPr>
    <w:rPr>
      <w:sz w:val="18"/>
    </w:rPr>
  </w:style>
  <w:style w:type="paragraph" w:styleId="12">
    <w:name w:val="header"/>
    <w:basedOn w:val="1"/>
    <w:link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autoRedefine/>
    <w:qFormat/>
    <w:uiPriority w:val="0"/>
    <w:rPr>
      <w:sz w:val="24"/>
    </w:rPr>
  </w:style>
  <w:style w:type="character" w:customStyle="1" w:styleId="16">
    <w:name w:val="标题 2 字符"/>
    <w:basedOn w:val="15"/>
    <w:link w:val="7"/>
    <w:autoRedefine/>
    <w:qFormat/>
    <w:uiPriority w:val="0"/>
    <w:rPr>
      <w:rFonts w:ascii="Arial" w:hAnsi="Arial" w:eastAsia="黑体" w:cs="Arial"/>
      <w:color w:val="000000"/>
      <w:sz w:val="28"/>
    </w:rPr>
  </w:style>
  <w:style w:type="character" w:customStyle="1" w:styleId="17">
    <w:name w:val="页眉 字符"/>
    <w:basedOn w:val="15"/>
    <w:link w:val="12"/>
    <w:autoRedefine/>
    <w:qFormat/>
    <w:uiPriority w:val="0"/>
    <w:rPr>
      <w:rFonts w:ascii="Arial" w:hAnsi="Arial" w:eastAsia="Arial" w:cs="Arial"/>
      <w:color w:val="000000"/>
      <w:sz w:val="18"/>
      <w:szCs w:val="21"/>
    </w:rPr>
  </w:style>
  <w:style w:type="character" w:customStyle="1" w:styleId="18">
    <w:name w:val="页脚 字符"/>
    <w:basedOn w:val="15"/>
    <w:link w:val="11"/>
    <w:autoRedefine/>
    <w:qFormat/>
    <w:uiPriority w:val="0"/>
    <w:rPr>
      <w:rFonts w:ascii="Arial" w:hAnsi="Arial" w:eastAsia="Arial" w:cs="Arial"/>
      <w:color w:val="000000"/>
      <w:sz w:val="18"/>
      <w:szCs w:val="21"/>
    </w:rPr>
  </w:style>
  <w:style w:type="paragraph" w:customStyle="1" w:styleId="1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正文文本缩进 字符"/>
    <w:basedOn w:val="15"/>
    <w:link w:val="9"/>
    <w:autoRedefine/>
    <w:qFormat/>
    <w:uiPriority w:val="99"/>
    <w:rPr>
      <w:rFonts w:ascii="Times New Roman" w:hAnsi="Times New Roman" w:eastAsia="宋体" w:cs="Times New Roman"/>
      <w:sz w:val="24"/>
      <w:szCs w:val="24"/>
    </w:rPr>
  </w:style>
  <w:style w:type="paragraph" w:customStyle="1" w:styleId="21">
    <w:name w:val="msonormal1"/>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customStyle="1" w:styleId="22">
    <w:name w:val="font41"/>
    <w:basedOn w:val="15"/>
    <w:autoRedefine/>
    <w:qFormat/>
    <w:uiPriority w:val="0"/>
    <w:rPr>
      <w:rFonts w:hint="eastAsia" w:ascii="宋体" w:hAnsi="宋体" w:eastAsia="宋体" w:cs="宋体"/>
      <w:color w:val="000000"/>
      <w:sz w:val="20"/>
      <w:szCs w:val="20"/>
      <w:u w:val="none"/>
    </w:rPr>
  </w:style>
  <w:style w:type="character" w:customStyle="1" w:styleId="23">
    <w:name w:val="font31"/>
    <w:basedOn w:val="15"/>
    <w:autoRedefine/>
    <w:qFormat/>
    <w:uiPriority w:val="0"/>
    <w:rPr>
      <w:rFonts w:hint="eastAsia" w:ascii="方正仿宋_GBK" w:hAnsi="方正仿宋_GBK" w:eastAsia="方正仿宋_GBK" w:cs="方正仿宋_GBK"/>
      <w:color w:val="000000"/>
      <w:sz w:val="20"/>
      <w:szCs w:val="20"/>
      <w:u w:val="none"/>
    </w:rPr>
  </w:style>
  <w:style w:type="character" w:customStyle="1" w:styleId="24">
    <w:name w:val="font51"/>
    <w:basedOn w:val="15"/>
    <w:autoRedefine/>
    <w:qFormat/>
    <w:uiPriority w:val="0"/>
    <w:rPr>
      <w:rFonts w:hint="eastAsia" w:ascii="方正仿宋_GBK" w:hAnsi="方正仿宋_GBK" w:eastAsia="方正仿宋_GBK" w:cs="方正仿宋_GBK"/>
      <w:color w:val="000000"/>
      <w:sz w:val="20"/>
      <w:szCs w:val="20"/>
      <w:u w:val="single"/>
    </w:rPr>
  </w:style>
  <w:style w:type="character" w:customStyle="1" w:styleId="25">
    <w:name w:val="font21"/>
    <w:basedOn w:val="15"/>
    <w:autoRedefine/>
    <w:qFormat/>
    <w:uiPriority w:val="0"/>
    <w:rPr>
      <w:rFonts w:hint="eastAsia" w:ascii="宋体" w:hAnsi="宋体" w:eastAsia="宋体" w:cs="宋体"/>
      <w:color w:val="000000"/>
      <w:sz w:val="24"/>
      <w:szCs w:val="24"/>
      <w:u w:val="none"/>
    </w:rPr>
  </w:style>
  <w:style w:type="character" w:customStyle="1" w:styleId="26">
    <w:name w:val="font01"/>
    <w:basedOn w:val="15"/>
    <w:autoRedefine/>
    <w:qFormat/>
    <w:uiPriority w:val="0"/>
    <w:rPr>
      <w:rFonts w:hint="eastAsia" w:ascii="宋体" w:hAnsi="宋体" w:eastAsia="宋体" w:cs="宋体"/>
      <w:color w:val="000000"/>
      <w:sz w:val="22"/>
      <w:szCs w:val="22"/>
      <w:u w:val="none"/>
    </w:rPr>
  </w:style>
  <w:style w:type="character" w:customStyle="1" w:styleId="27">
    <w:name w:val="font61"/>
    <w:basedOn w:val="15"/>
    <w:autoRedefine/>
    <w:qFormat/>
    <w:uiPriority w:val="0"/>
    <w:rPr>
      <w:rFonts w:hint="default" w:ascii="Times New Roman" w:hAnsi="Times New Roman" w:cs="Times New Roman"/>
      <w:color w:val="000000"/>
      <w:sz w:val="22"/>
      <w:szCs w:val="22"/>
      <w:u w:val="none"/>
    </w:rPr>
  </w:style>
  <w:style w:type="character" w:customStyle="1" w:styleId="28">
    <w:name w:val="font81"/>
    <w:basedOn w:val="15"/>
    <w:autoRedefine/>
    <w:qFormat/>
    <w:uiPriority w:val="0"/>
    <w:rPr>
      <w:rFonts w:hint="eastAsia" w:ascii="宋体" w:hAnsi="宋体" w:eastAsia="宋体" w:cs="宋体"/>
      <w:b/>
      <w:bCs/>
      <w:color w:val="000000"/>
      <w:sz w:val="21"/>
      <w:szCs w:val="21"/>
      <w:u w:val="none"/>
    </w:rPr>
  </w:style>
  <w:style w:type="character" w:customStyle="1" w:styleId="29">
    <w:name w:val="font91"/>
    <w:basedOn w:val="15"/>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569</Words>
  <Characters>3245</Characters>
  <Lines>27</Lines>
  <Paragraphs>7</Paragraphs>
  <TotalTime>7</TotalTime>
  <ScaleCrop>false</ScaleCrop>
  <LinksUpToDate>false</LinksUpToDate>
  <CharactersWithSpaces>3807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2023-04-17T08:46:00Z</dcterms:created>
  <dc:creator>刘晓梅</dc:creator>
  <cp:lastModifiedBy>花园坊</cp:lastModifiedBy>
  <dcterms:modified xsi:type="dcterms:W3CDTF">2024-03-08T03:06:03Z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B535A3EEC26246F1B39AAEDF0B8B7CE5_12</vt:lpwstr>
  </property>
</Properties>
</file>