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lang w:val="en-US" w:eastAsia="zh-CN"/>
        </w:rPr>
        <w:t>镇海区九龙湖镇鸿山路边坡治理（生态修复）工程钢</w:t>
      </w:r>
    </w:p>
    <w:p>
      <w:pPr>
        <w:spacing w:line="660" w:lineRule="exact"/>
        <w:jc w:val="center"/>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筋材料比选</w:t>
      </w:r>
      <w:r>
        <w:rPr>
          <w:rFonts w:hint="eastAsia" w:ascii="方正小标宋简体" w:hAnsi="方正小标宋简体" w:eastAsia="方正小标宋简体" w:cs="方正小标宋简体"/>
          <w:bCs/>
          <w:sz w:val="36"/>
          <w:szCs w:val="36"/>
        </w:rPr>
        <w:t>采购</w:t>
      </w:r>
      <w:r>
        <w:rPr>
          <w:rFonts w:hint="eastAsia" w:ascii="方正小标宋简体" w:hAnsi="方正小标宋简体" w:eastAsia="方正小标宋简体" w:cs="方正小标宋简体"/>
          <w:bCs/>
          <w:sz w:val="36"/>
          <w:szCs w:val="36"/>
          <w:lang w:val="en-US" w:eastAsia="zh-CN"/>
        </w:rPr>
        <w:t>文件</w:t>
      </w:r>
    </w:p>
    <w:p>
      <w:pPr>
        <w:tabs>
          <w:tab w:val="left" w:pos="1060"/>
          <w:tab w:val="left" w:pos="3360"/>
        </w:tabs>
        <w:adjustRightInd w:val="0"/>
        <w:snapToGrid w:val="0"/>
        <w:spacing w:line="360" w:lineRule="auto"/>
        <w:ind w:firstLine="640" w:firstLineChars="200"/>
        <w:jc w:val="left"/>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我公司拟进行镇海区九龙湖镇鸿山路边坡治理（生态修复）工程钢筋材料询比选采购，采购编号：ZMCJ-JC-2024-16</w:t>
      </w:r>
    </w:p>
    <w:p>
      <w:pPr>
        <w:tabs>
          <w:tab w:val="left" w:pos="1060"/>
          <w:tab w:val="left" w:pos="3360"/>
        </w:tabs>
        <w:adjustRightInd w:val="0"/>
        <w:snapToGrid w:val="0"/>
        <w:spacing w:line="360" w:lineRule="auto"/>
        <w:ind w:firstLine="643" w:firstLineChars="200"/>
        <w:jc w:val="left"/>
        <w:rPr>
          <w:rFonts w:hint="eastAsia" w:ascii="仿宋_GB2312" w:hAnsi="仿宋_GB2312" w:eastAsia="仿宋_GB2312" w:cs="仿宋_GB2312"/>
          <w:b/>
          <w:bCs/>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一、项目概况</w:t>
      </w:r>
    </w:p>
    <w:p>
      <w:pPr>
        <w:tabs>
          <w:tab w:val="left" w:pos="1060"/>
          <w:tab w:val="left" w:pos="3360"/>
        </w:tabs>
        <w:adjustRightInd w:val="0"/>
        <w:snapToGrid w:val="0"/>
        <w:spacing w:line="360" w:lineRule="auto"/>
        <w:ind w:left="2558" w:leftChars="304" w:hanging="1920" w:hangingChars="600"/>
        <w:jc w:val="left"/>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1.项目名称：镇海区九龙湖镇鸿山路边坡治理（生态修复）工程钢筋</w:t>
      </w:r>
    </w:p>
    <w:p>
      <w:pPr>
        <w:pStyle w:val="6"/>
        <w:widowControl/>
        <w:shd w:val="clear" w:color="auto" w:fill="FFFFFF"/>
        <w:spacing w:before="10" w:beforeAutospacing="0" w:after="10" w:afterAutospacing="0" w:line="240" w:lineRule="auto"/>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2.采购需求：钢筋</w:t>
      </w:r>
    </w:p>
    <w:p>
      <w:pPr>
        <w:pStyle w:val="6"/>
        <w:widowControl/>
        <w:shd w:val="clear" w:color="auto" w:fill="FFFFFF"/>
        <w:spacing w:before="10" w:beforeAutospacing="0" w:after="10" w:afterAutospacing="0" w:line="560" w:lineRule="exact"/>
        <w:ind w:right="10" w:firstLine="640" w:firstLineChars="200"/>
        <w:rPr>
          <w:rFonts w:hint="default"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3.工期:80天</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4.项目地点：浙江省宁波市</w:t>
      </w:r>
    </w:p>
    <w:p>
      <w:pPr>
        <w:pStyle w:val="6"/>
        <w:widowControl/>
        <w:shd w:val="clear" w:color="auto" w:fill="FFFFFF"/>
        <w:spacing w:before="10" w:beforeAutospacing="0" w:after="10" w:afterAutospacing="0" w:line="560" w:lineRule="exact"/>
        <w:ind w:right="10"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5.评标办法:合理最低价评标法</w:t>
      </w:r>
    </w:p>
    <w:p>
      <w:pPr>
        <w:numPr>
          <w:ilvl w:val="0"/>
          <w:numId w:val="1"/>
        </w:num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报价人响应资格要求</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（一）具有相应经营范围的独立法人单位，有合格有效的营业执照，经营范围必须具有建筑材料销售资质，并在人员、资金等方面具有相应的实力。</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（三）投标人在2021年1月1日至今无行贿犯罪、行政处罚等记录（未被“信用中国”</w:t>
      </w:r>
      <w:r>
        <w:rPr>
          <w:rFonts w:hint="eastAsia" w:ascii="仿宋_GB2312" w:hAnsi="仿宋_GB2312" w:eastAsia="仿宋_GB2312" w:cs="仿宋_GB2312"/>
          <w:color w:val="auto"/>
          <w:kern w:val="0"/>
          <w:sz w:val="32"/>
          <w:szCs w:val="32"/>
          <w:lang w:val="en-US" w:eastAsia="zh-CN" w:bidi="ar-SA"/>
        </w:rPr>
        <w:fldChar w:fldCharType="begin"/>
      </w:r>
      <w:r>
        <w:rPr>
          <w:rFonts w:hint="eastAsia" w:ascii="仿宋_GB2312" w:hAnsi="仿宋_GB2312" w:eastAsia="仿宋_GB2312" w:cs="仿宋_GB2312"/>
          <w:color w:val="auto"/>
          <w:kern w:val="0"/>
          <w:sz w:val="32"/>
          <w:szCs w:val="32"/>
          <w:lang w:val="en-US" w:eastAsia="zh-CN" w:bidi="ar-SA"/>
        </w:rPr>
        <w:instrText xml:space="preserve"> HYPERLINK "http://www.creditchina.gov.cn" </w:instrText>
      </w:r>
      <w:r>
        <w:rPr>
          <w:rFonts w:hint="eastAsia" w:ascii="仿宋_GB2312" w:hAnsi="仿宋_GB2312" w:eastAsia="仿宋_GB2312" w:cs="仿宋_GB2312"/>
          <w:color w:val="auto"/>
          <w:kern w:val="0"/>
          <w:sz w:val="32"/>
          <w:szCs w:val="32"/>
          <w:lang w:val="en-US" w:eastAsia="zh-CN" w:bidi="ar-SA"/>
        </w:rPr>
        <w:fldChar w:fldCharType="separate"/>
      </w:r>
      <w:r>
        <w:rPr>
          <w:rFonts w:hint="eastAsia" w:ascii="仿宋_GB2312" w:hAnsi="仿宋_GB2312" w:eastAsia="仿宋_GB2312" w:cs="仿宋_GB2312"/>
          <w:color w:val="auto"/>
          <w:kern w:val="0"/>
          <w:sz w:val="32"/>
          <w:szCs w:val="32"/>
          <w:lang w:val="en-US" w:eastAsia="zh-CN" w:bidi="ar-SA"/>
        </w:rPr>
        <w:t>www.creditchina.gov.cn</w:t>
      </w:r>
      <w:r>
        <w:rPr>
          <w:rFonts w:hint="eastAsia" w:ascii="仿宋_GB2312" w:hAnsi="仿宋_GB2312" w:eastAsia="仿宋_GB2312" w:cs="仿宋_GB2312"/>
          <w:color w:val="auto"/>
          <w:kern w:val="0"/>
          <w:sz w:val="32"/>
          <w:szCs w:val="32"/>
          <w:lang w:val="en-US" w:eastAsia="zh-CN" w:bidi="ar-SA"/>
        </w:rPr>
        <w:fldChar w:fldCharType="end"/>
      </w:r>
      <w:r>
        <w:rPr>
          <w:rFonts w:hint="eastAsia" w:ascii="仿宋_GB2312" w:hAnsi="仿宋_GB2312" w:eastAsia="仿宋_GB2312" w:cs="仿宋_GB2312"/>
          <w:color w:val="auto"/>
          <w:kern w:val="0"/>
          <w:sz w:val="32"/>
          <w:szCs w:val="32"/>
          <w:lang w:val="en-US" w:eastAsia="zh-CN" w:bidi="ar-SA"/>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四）本次采购不接受联合体报价。具有投资参股关系的关联企业，或具有直接管理或被管理关系的母子公司，或同一母公司的子公司，或法定代表人为同一人的两个及两个以上法人不得同时对同一项目进行投标。</w:t>
      </w:r>
    </w:p>
    <w:p>
      <w:pPr>
        <w:pStyle w:val="6"/>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三、报名方式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凡有意参加者，请于202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17</w:t>
      </w:r>
      <w:r>
        <w:rPr>
          <w:rFonts w:hint="eastAsia" w:ascii="仿宋_GB2312" w:hAnsi="宋体" w:eastAsia="仿宋_GB2312" w:cs="宋体"/>
          <w:sz w:val="32"/>
          <w:szCs w:val="32"/>
        </w:rPr>
        <w:t>日上午10:00前将响应文件快件投递或</w:t>
      </w:r>
      <w:r>
        <w:rPr>
          <w:rFonts w:hint="eastAsia" w:ascii="仿宋_GB2312" w:hAnsi="宋体" w:eastAsia="仿宋_GB2312" w:cs="宋体"/>
          <w:sz w:val="32"/>
          <w:szCs w:val="32"/>
          <w:lang w:val="en-US" w:eastAsia="zh-CN"/>
        </w:rPr>
        <w:t>现场纸质</w:t>
      </w:r>
      <w:r>
        <w:rPr>
          <w:rFonts w:hint="eastAsia" w:ascii="仿宋_GB2312" w:hAnsi="宋体" w:eastAsia="仿宋_GB2312" w:cs="宋体"/>
          <w:sz w:val="32"/>
          <w:szCs w:val="32"/>
        </w:rPr>
        <w:t xml:space="preserve">送达。 </w:t>
      </w:r>
    </w:p>
    <w:p>
      <w:pPr>
        <w:pStyle w:val="6"/>
        <w:widowControl/>
        <w:shd w:val="clear" w:color="auto" w:fill="FFFFFF"/>
        <w:spacing w:before="10" w:beforeAutospacing="0" w:after="10" w:afterAutospacing="0" w:line="560" w:lineRule="exact"/>
        <w:ind w:right="10" w:firstLine="643" w:firstLineChars="200"/>
        <w:rPr>
          <w:rFonts w:hint="eastAsia" w:ascii="仿宋_GB2312" w:hAnsi="宋体" w:eastAsia="仿宋_GB2312" w:cs="宋体"/>
          <w:b/>
          <w:bCs/>
          <w:sz w:val="32"/>
          <w:szCs w:val="32"/>
        </w:rPr>
      </w:pPr>
      <w:r>
        <w:rPr>
          <w:rFonts w:hint="eastAsia" w:ascii="仿宋_GB2312" w:hAnsi="宋体" w:eastAsia="仿宋_GB2312" w:cs="宋体"/>
          <w:b/>
          <w:bCs/>
          <w:sz w:val="32"/>
          <w:szCs w:val="32"/>
        </w:rPr>
        <w:t>四、投标人需提供以下材料 </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1、营业执照副本复印件（在集团公司供应商库无需提供）；</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2、法人身份证明及授权委托书；</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3、报价明细；</w:t>
      </w:r>
    </w:p>
    <w:p>
      <w:pPr>
        <w:pStyle w:val="6"/>
        <w:widowControl/>
        <w:shd w:val="clear" w:color="auto" w:fill="FFFFFF"/>
        <w:spacing w:before="10" w:beforeAutospacing="0" w:after="10" w:afterAutospacing="0" w:line="560" w:lineRule="exact"/>
        <w:ind w:right="10" w:firstLine="640" w:firstLineChars="200"/>
        <w:rPr>
          <w:rFonts w:ascii="仿宋_GB2312" w:hAnsi="宋体" w:eastAsia="仿宋_GB2312" w:cs="宋体"/>
          <w:sz w:val="32"/>
          <w:szCs w:val="32"/>
        </w:rPr>
      </w:pPr>
      <w:r>
        <w:rPr>
          <w:rFonts w:hint="eastAsia" w:ascii="仿宋_GB2312" w:hAnsi="宋体" w:eastAsia="仿宋_GB2312" w:cs="宋体"/>
          <w:sz w:val="32"/>
          <w:szCs w:val="32"/>
        </w:rPr>
        <w:t>注：上述材料必须加盖单位公章。</w:t>
      </w:r>
    </w:p>
    <w:p>
      <w:pPr>
        <w:widowControl/>
        <w:spacing w:line="560" w:lineRule="exact"/>
        <w:ind w:firstLine="640" w:firstLineChars="200"/>
        <w:jc w:val="left"/>
        <w:rPr>
          <w:rFonts w:hint="eastAsia" w:ascii="黑体" w:hAnsi="黑体" w:eastAsia="黑体" w:cs="宋体"/>
          <w:kern w:val="0"/>
          <w:sz w:val="32"/>
          <w:szCs w:val="32"/>
        </w:rPr>
      </w:pPr>
      <w:r>
        <w:rPr>
          <w:rFonts w:hint="eastAsia" w:ascii="黑体" w:hAnsi="黑体" w:eastAsia="黑体" w:cs="宋体"/>
          <w:kern w:val="0"/>
          <w:sz w:val="32"/>
          <w:szCs w:val="32"/>
        </w:rPr>
        <w:t>五、联系方式</w:t>
      </w:r>
    </w:p>
    <w:p>
      <w:pPr>
        <w:pStyle w:val="6"/>
        <w:widowControl/>
        <w:shd w:val="clear" w:color="auto" w:fill="FFFFFF"/>
        <w:spacing w:before="10" w:beforeAutospacing="0" w:after="10" w:afterAutospacing="0" w:line="560" w:lineRule="exact"/>
        <w:ind w:right="10"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采购单位：中煤长江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spacing w:before="10" w:beforeAutospacing="0" w:after="10" w:afterAutospacing="0" w:line="560" w:lineRule="exact"/>
        <w:ind w:right="10" w:firstLine="640" w:firstLineChars="200"/>
        <w:rPr>
          <w:rFonts w:ascii="仿宋_GB2312" w:hAnsi="仿宋_GB2312" w:eastAsia="仿宋_GB2312" w:cs="仿宋_GB2312"/>
          <w:sz w:val="32"/>
          <w:szCs w:val="32"/>
        </w:rPr>
      </w:pPr>
      <w:r>
        <w:rPr>
          <w:rFonts w:hint="eastAsia" w:ascii="仿宋_GB2312" w:hAnsi="宋体" w:eastAsia="仿宋_GB2312" w:cs="宋体"/>
          <w:sz w:val="32"/>
          <w:szCs w:val="32"/>
        </w:rPr>
        <w:t>地址：</w:t>
      </w:r>
      <w:r>
        <w:rPr>
          <w:rFonts w:hint="eastAsia" w:ascii="仿宋_GB2312" w:hAnsi="仿宋_GB2312" w:eastAsia="仿宋_GB2312" w:cs="仿宋_GB2312"/>
          <w:sz w:val="32"/>
          <w:szCs w:val="32"/>
        </w:rPr>
        <w:t>南京市栖霞区尧佳路68号新茂国际中心20楼</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 葛工    </w:t>
      </w:r>
    </w:p>
    <w:p>
      <w:pPr>
        <w:widowControl/>
        <w:wordWrap w:val="0"/>
        <w:spacing w:before="12" w:after="12" w:line="560" w:lineRule="exact"/>
        <w:ind w:right="11"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 025-8523</w:t>
      </w:r>
      <w:r>
        <w:rPr>
          <w:rFonts w:hint="eastAsia" w:ascii="仿宋_GB2312" w:hAnsi="宋体" w:eastAsia="仿宋_GB2312" w:cs="宋体"/>
          <w:kern w:val="0"/>
          <w:sz w:val="32"/>
          <w:szCs w:val="32"/>
          <w:lang w:val="en-US" w:eastAsia="zh-CN"/>
        </w:rPr>
        <w:t>2331</w:t>
      </w:r>
      <w:r>
        <w:rPr>
          <w:rFonts w:hint="eastAsia" w:ascii="仿宋_GB2312" w:hAnsi="宋体" w:eastAsia="仿宋_GB2312" w:cs="宋体"/>
          <w:kern w:val="0"/>
          <w:sz w:val="32"/>
          <w:szCs w:val="32"/>
        </w:rPr>
        <w:t xml:space="preserve"> </w:t>
      </w:r>
    </w:p>
    <w:p>
      <w:pPr>
        <w:widowControl/>
        <w:wordWrap w:val="0"/>
        <w:spacing w:before="12" w:after="12" w:line="560" w:lineRule="exact"/>
        <w:ind w:right="11" w:firstLine="640" w:firstLineChars="200"/>
        <w:jc w:val="left"/>
        <w:rPr>
          <w:rFonts w:hint="eastAsia" w:ascii="仿宋_GB2312" w:hAnsi="仿宋_GB2312" w:eastAsia="仿宋_GB2312" w:cs="仿宋_GB2312"/>
          <w:sz w:val="32"/>
          <w:szCs w:val="32"/>
        </w:rPr>
      </w:pPr>
      <w:r>
        <w:rPr>
          <w:rFonts w:hint="eastAsia" w:ascii="仿宋_GB2312" w:hAnsi="宋体" w:eastAsia="仿宋_GB2312" w:cs="宋体"/>
          <w:kern w:val="0"/>
          <w:sz w:val="32"/>
          <w:szCs w:val="32"/>
        </w:rPr>
        <w:t xml:space="preserve">邮箱： JSZMCJSTHJ@163.com     </w:t>
      </w:r>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color w:val="auto"/>
          <w:sz w:val="32"/>
          <w:szCs w:val="32"/>
        </w:rPr>
        <w:t xml:space="preserve"> </w:t>
      </w:r>
      <w:r>
        <w:rPr>
          <w:rFonts w:hint="eastAsia" w:ascii="仿宋_GB2312" w:hAnsi="宋体" w:eastAsia="仿宋_GB2312" w:cs="宋体"/>
          <w:sz w:val="32"/>
          <w:szCs w:val="32"/>
        </w:rPr>
        <w:t>中煤长江</w:t>
      </w:r>
      <w:r>
        <w:rPr>
          <w:rFonts w:hint="eastAsia" w:ascii="仿宋_GB2312" w:hAnsi="宋体" w:eastAsia="仿宋_GB2312" w:cs="宋体"/>
          <w:sz w:val="32"/>
          <w:szCs w:val="32"/>
          <w:lang w:val="en-US" w:eastAsia="zh-CN"/>
        </w:rPr>
        <w:t>基础建设</w:t>
      </w:r>
      <w:r>
        <w:rPr>
          <w:rFonts w:hint="eastAsia" w:ascii="仿宋_GB2312" w:hAnsi="宋体" w:eastAsia="仿宋_GB2312" w:cs="宋体"/>
          <w:sz w:val="32"/>
          <w:szCs w:val="32"/>
        </w:rPr>
        <w:t>有限公司</w:t>
      </w:r>
    </w:p>
    <w:p>
      <w:pPr>
        <w:pStyle w:val="6"/>
        <w:widowControl/>
        <w:shd w:val="clear" w:color="auto" w:fill="FFFFFF"/>
        <w:wordWrap w:val="0"/>
        <w:spacing w:before="10" w:beforeAutospacing="0" w:after="10" w:afterAutospacing="0" w:line="560" w:lineRule="exact"/>
        <w:ind w:left="10" w:right="10" w:firstLine="430"/>
        <w:jc w:val="right"/>
        <w:rPr>
          <w:rFonts w:hint="eastAsia" w:ascii="仿宋_GB2312" w:hAnsi="宋体" w:eastAsia="仿宋_GB2312" w:cs="宋体"/>
          <w:color w:val="FF0000"/>
          <w:sz w:val="32"/>
          <w:szCs w:val="32"/>
        </w:rPr>
      </w:pPr>
    </w:p>
    <w:p>
      <w:pPr>
        <w:pStyle w:val="6"/>
        <w:widowControl/>
        <w:shd w:val="clear" w:color="auto" w:fill="FFFFFF"/>
        <w:spacing w:before="10" w:beforeAutospacing="0" w:after="10" w:afterAutospacing="0" w:line="560" w:lineRule="exact"/>
        <w:ind w:left="10" w:right="10" w:firstLine="430"/>
        <w:jc w:val="right"/>
        <w:rPr>
          <w:rFonts w:hint="eastAsia" w:ascii="仿宋_GB2312" w:hAnsi="宋体" w:eastAsia="仿宋_GB2312" w:cs="宋体"/>
          <w:sz w:val="32"/>
          <w:szCs w:val="32"/>
        </w:rPr>
      </w:pP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 xml:space="preserve"> 5 </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14</w:t>
      </w:r>
      <w:r>
        <w:rPr>
          <w:rFonts w:hint="eastAsia" w:ascii="仿宋_GB2312" w:hAnsi="宋体" w:eastAsia="仿宋_GB2312" w:cs="宋体"/>
          <w:sz w:val="32"/>
          <w:szCs w:val="32"/>
        </w:rPr>
        <w:t xml:space="preserve">日  </w:t>
      </w:r>
    </w:p>
    <w:p>
      <w:pPr>
        <w:pStyle w:val="6"/>
        <w:widowControl/>
        <w:shd w:val="clear" w:color="auto" w:fill="FFFFFF"/>
        <w:wordWrap w:val="0"/>
        <w:spacing w:before="10" w:beforeAutospacing="0" w:after="10" w:afterAutospacing="0" w:line="560" w:lineRule="exact"/>
        <w:ind w:right="10"/>
        <w:jc w:val="both"/>
      </w:pPr>
    </w:p>
    <w:p>
      <w:pPr>
        <w:jc w:val="center"/>
        <w:rPr>
          <w:rFonts w:hint="eastAsia" w:ascii="仿宋" w:hAnsi="仿宋" w:eastAsia="仿宋" w:cs="仿宋"/>
          <w:b/>
          <w:bCs/>
          <w:sz w:val="48"/>
          <w:szCs w:val="48"/>
          <w:lang w:val="en-US" w:eastAsia="zh-CN"/>
        </w:rPr>
      </w:pPr>
    </w:p>
    <w:p>
      <w:pPr>
        <w:jc w:val="center"/>
        <w:rPr>
          <w:rFonts w:hint="eastAsia" w:ascii="仿宋" w:hAnsi="仿宋" w:eastAsia="仿宋" w:cs="仿宋"/>
          <w:b/>
          <w:bCs/>
          <w:sz w:val="48"/>
          <w:szCs w:val="48"/>
          <w:lang w:val="en-US" w:eastAsia="zh-CN"/>
        </w:rPr>
      </w:pPr>
    </w:p>
    <w:p>
      <w:pPr>
        <w:jc w:val="center"/>
        <w:rPr>
          <w:rFonts w:hint="eastAsia" w:ascii="仿宋" w:hAnsi="仿宋" w:eastAsia="仿宋" w:cs="仿宋"/>
          <w:b/>
          <w:bCs/>
          <w:sz w:val="48"/>
          <w:szCs w:val="48"/>
          <w:lang w:val="en-US" w:eastAsia="zh-CN"/>
        </w:rPr>
      </w:pPr>
    </w:p>
    <w:p>
      <w:pPr>
        <w:jc w:val="center"/>
        <w:rPr>
          <w:rFonts w:hint="default" w:ascii="仿宋" w:hAnsi="仿宋" w:eastAsia="仿宋" w:cs="仿宋"/>
          <w:b/>
          <w:bCs/>
          <w:sz w:val="48"/>
          <w:szCs w:val="48"/>
          <w:lang w:val="en-US" w:eastAsia="zh-CN"/>
        </w:rPr>
      </w:pPr>
      <w:r>
        <w:rPr>
          <w:rFonts w:hint="eastAsia" w:ascii="仿宋" w:hAnsi="仿宋" w:eastAsia="仿宋" w:cs="仿宋"/>
          <w:b/>
          <w:bCs/>
          <w:sz w:val="48"/>
          <w:szCs w:val="48"/>
          <w:lang w:val="en-US" w:eastAsia="zh-CN"/>
        </w:rPr>
        <w:t>镇海区九龙湖镇鸿山路边坡治理（生态修复）工程钢筋材料比选采购响应文件</w:t>
      </w:r>
    </w:p>
    <w:p>
      <w:pPr>
        <w:pStyle w:val="5"/>
        <w:rPr>
          <w:rFonts w:hint="eastAsia" w:ascii="仿宋" w:hAnsi="仿宋" w:eastAsia="仿宋" w:cs="仿宋"/>
        </w:rPr>
      </w:pPr>
    </w:p>
    <w:p>
      <w:pPr>
        <w:jc w:val="center"/>
        <w:rPr>
          <w:rFonts w:hint="default" w:ascii="仿宋" w:hAnsi="仿宋" w:eastAsia="仿宋" w:cs="仿宋"/>
          <w:bCs/>
          <w:sz w:val="32"/>
          <w:szCs w:val="32"/>
          <w:lang w:val="en-US" w:eastAsia="zh-CN"/>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_GB2312" w:hAnsi="仿宋_GB2312" w:eastAsia="仿宋_GB2312" w:cs="仿宋_GB2312"/>
          <w:color w:val="auto"/>
          <w:kern w:val="0"/>
          <w:sz w:val="32"/>
          <w:szCs w:val="32"/>
          <w:lang w:val="en-US" w:eastAsia="zh-CN" w:bidi="ar-SA"/>
        </w:rPr>
        <w:t>ZMCJ-JC-2024-16</w:t>
      </w: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5"/>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5"/>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pStyle w:val="3"/>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pStyle w:val="3"/>
        <w:spacing w:after="0" w:line="360" w:lineRule="auto"/>
        <w:ind w:left="0" w:firstLine="0"/>
        <w:jc w:val="both"/>
        <w:rPr>
          <w:rFonts w:hint="eastAsia" w:ascii="仿宋" w:hAnsi="仿宋" w:eastAsia="仿宋" w:cs="仿宋"/>
          <w:szCs w:val="28"/>
        </w:rPr>
      </w:pPr>
    </w:p>
    <w:p>
      <w:pPr>
        <w:spacing w:line="560" w:lineRule="exact"/>
        <w:jc w:val="both"/>
        <w:rPr>
          <w:rFonts w:hint="eastAsia" w:ascii="仿宋" w:hAnsi="仿宋" w:eastAsia="仿宋" w:cs="仿宋"/>
          <w:sz w:val="36"/>
          <w:szCs w:val="36"/>
        </w:rPr>
      </w:pP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kern w:val="2"/>
          <w:sz w:val="52"/>
          <w:szCs w:val="52"/>
          <w:lang w:val="en-US" w:eastAsia="zh-CN" w:bidi="ar-SA"/>
        </w:rPr>
      </w:pPr>
      <w:r>
        <w:rPr>
          <w:rFonts w:hint="eastAsia" w:ascii="仿宋" w:hAnsi="仿宋" w:eastAsia="仿宋" w:cs="仿宋"/>
          <w:b/>
          <w:bCs/>
          <w:kern w:val="2"/>
          <w:sz w:val="52"/>
          <w:szCs w:val="52"/>
          <w:lang w:val="en-US" w:eastAsia="zh-CN" w:bidi="ar-SA"/>
        </w:rPr>
        <w:t>中煤长江基础建设有限公司</w:t>
      </w:r>
    </w:p>
    <w:p>
      <w:pPr>
        <w:pStyle w:val="6"/>
        <w:widowControl/>
        <w:shd w:val="clear" w:color="auto" w:fill="FFFFFF"/>
        <w:wordWrap/>
        <w:spacing w:before="10" w:beforeAutospacing="0" w:after="10" w:afterAutospacing="0" w:line="560" w:lineRule="exact"/>
        <w:ind w:right="10"/>
        <w:jc w:val="center"/>
        <w:rPr>
          <w:rFonts w:hint="eastAsia" w:ascii="仿宋" w:hAnsi="仿宋" w:eastAsia="仿宋" w:cs="仿宋"/>
          <w:b/>
          <w:bCs/>
          <w:sz w:val="52"/>
          <w:szCs w:val="52"/>
        </w:rPr>
      </w:pPr>
      <w:r>
        <w:rPr>
          <w:rFonts w:hint="eastAsia" w:ascii="仿宋" w:hAnsi="仿宋" w:eastAsia="仿宋" w:cs="仿宋"/>
          <w:b/>
          <w:bCs/>
          <w:kern w:val="2"/>
          <w:sz w:val="52"/>
          <w:szCs w:val="52"/>
          <w:lang w:val="en-US" w:eastAsia="zh-CN" w:bidi="ar-SA"/>
        </w:rPr>
        <w:t>钢筋采购</w:t>
      </w:r>
      <w:r>
        <w:rPr>
          <w:rFonts w:hint="eastAsia" w:ascii="仿宋" w:hAnsi="仿宋" w:eastAsia="仿宋" w:cs="仿宋"/>
          <w:b/>
          <w:bCs/>
          <w:sz w:val="52"/>
          <w:szCs w:val="52"/>
        </w:rPr>
        <w:t>报价单</w:t>
      </w:r>
    </w:p>
    <w:p>
      <w:pPr>
        <w:pStyle w:val="6"/>
        <w:widowControl/>
        <w:shd w:val="clear" w:color="auto" w:fill="FFFFFF"/>
        <w:wordWrap/>
        <w:spacing w:before="10" w:beforeAutospacing="0" w:after="10" w:afterAutospacing="0" w:line="560" w:lineRule="exact"/>
        <w:ind w:left="10" w:right="10" w:firstLine="430"/>
        <w:jc w:val="center"/>
        <w:rPr>
          <w:rFonts w:hint="eastAsia" w:ascii="仿宋" w:hAnsi="仿宋" w:eastAsia="仿宋" w:cs="仿宋"/>
          <w:sz w:val="44"/>
          <w:szCs w:val="44"/>
        </w:rPr>
      </w:pPr>
    </w:p>
    <w:p>
      <w:pPr>
        <w:tabs>
          <w:tab w:val="left" w:pos="3360"/>
        </w:tabs>
        <w:adjustRightInd w:val="0"/>
        <w:snapToGrid w:val="0"/>
        <w:spacing w:line="360" w:lineRule="auto"/>
        <w:ind w:left="630"/>
        <w:jc w:val="left"/>
        <w:rPr>
          <w:rFonts w:hint="eastAsia" w:ascii="仿宋" w:hAnsi="仿宋" w:eastAsia="仿宋" w:cs="仿宋"/>
          <w:b/>
          <w:bCs/>
          <w:sz w:val="32"/>
          <w:szCs w:val="32"/>
        </w:rPr>
      </w:pPr>
      <w:r>
        <w:rPr>
          <w:rFonts w:hint="eastAsia" w:ascii="仿宋" w:hAnsi="仿宋" w:eastAsia="仿宋" w:cs="仿宋"/>
          <w:b/>
          <w:bCs/>
          <w:sz w:val="32"/>
          <w:szCs w:val="32"/>
        </w:rPr>
        <w:t>一、项目概况：</w:t>
      </w:r>
    </w:p>
    <w:p>
      <w:pPr>
        <w:tabs>
          <w:tab w:val="left" w:pos="1060"/>
          <w:tab w:val="left" w:pos="3360"/>
        </w:tabs>
        <w:adjustRightInd w:val="0"/>
        <w:snapToGrid w:val="0"/>
        <w:spacing w:line="360" w:lineRule="auto"/>
        <w:ind w:left="2238" w:leftChars="304" w:hanging="1600" w:hangingChars="500"/>
        <w:jc w:val="left"/>
        <w:rPr>
          <w:rFonts w:hint="eastAsia" w:ascii="仿宋_GB2312" w:hAnsi="仿宋_GB2312" w:eastAsia="仿宋_GB2312" w:cs="仿宋_GB2312"/>
          <w:color w:val="auto"/>
          <w:kern w:val="0"/>
          <w:sz w:val="32"/>
          <w:szCs w:val="32"/>
          <w:lang w:val="en-US" w:eastAsia="zh-CN" w:bidi="ar-SA"/>
        </w:rPr>
      </w:pPr>
      <w:r>
        <w:rPr>
          <w:rFonts w:hint="eastAsia" w:ascii="仿宋" w:hAnsi="仿宋" w:eastAsia="仿宋" w:cs="仿宋"/>
          <w:sz w:val="32"/>
          <w:szCs w:val="32"/>
        </w:rPr>
        <w:t xml:space="preserve"> 工程名称：</w:t>
      </w:r>
      <w:r>
        <w:rPr>
          <w:rFonts w:hint="eastAsia" w:ascii="仿宋_GB2312" w:hAnsi="仿宋_GB2312" w:eastAsia="仿宋_GB2312" w:cs="仿宋_GB2312"/>
          <w:color w:val="auto"/>
          <w:kern w:val="0"/>
          <w:sz w:val="32"/>
          <w:szCs w:val="32"/>
          <w:lang w:val="en-US" w:eastAsia="zh-CN" w:bidi="ar-SA"/>
        </w:rPr>
        <w:t>镇海区九龙湖镇鸿山路边坡治理（生态修复）工程</w:t>
      </w:r>
    </w:p>
    <w:p>
      <w:pPr>
        <w:tabs>
          <w:tab w:val="left" w:pos="1060"/>
          <w:tab w:val="left" w:pos="3360"/>
        </w:tabs>
        <w:adjustRightInd w:val="0"/>
        <w:snapToGrid w:val="0"/>
        <w:spacing w:line="360" w:lineRule="auto"/>
        <w:ind w:firstLine="640" w:firstLineChars="200"/>
        <w:jc w:val="left"/>
        <w:rPr>
          <w:rFonts w:hint="default" w:ascii="仿宋" w:hAnsi="仿宋" w:eastAsia="仿宋" w:cs="仿宋"/>
          <w:sz w:val="32"/>
          <w:szCs w:val="32"/>
          <w:lang w:val="en-US"/>
        </w:rPr>
      </w:pPr>
      <w:r>
        <w:rPr>
          <w:rFonts w:hint="eastAsia" w:ascii="仿宋" w:hAnsi="仿宋" w:eastAsia="仿宋" w:cs="仿宋"/>
          <w:sz w:val="32"/>
          <w:szCs w:val="32"/>
        </w:rPr>
        <w:t>工程地点：</w:t>
      </w:r>
      <w:r>
        <w:rPr>
          <w:rFonts w:hint="eastAsia" w:ascii="仿宋_GB2312" w:hAnsi="仿宋_GB2312" w:eastAsia="仿宋_GB2312" w:cs="仿宋_GB2312"/>
          <w:color w:val="auto"/>
          <w:kern w:val="0"/>
          <w:sz w:val="32"/>
          <w:szCs w:val="32"/>
          <w:lang w:val="en-US" w:eastAsia="zh-CN" w:bidi="ar-SA"/>
        </w:rPr>
        <w:t>浙江省宁波市</w:t>
      </w:r>
    </w:p>
    <w:p>
      <w:pPr>
        <w:numPr>
          <w:ilvl w:val="0"/>
          <w:numId w:val="2"/>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报价信息：</w:t>
      </w:r>
    </w:p>
    <w:tbl>
      <w:tblPr>
        <w:tblStyle w:val="8"/>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38"/>
        <w:gridCol w:w="988"/>
        <w:gridCol w:w="1084"/>
        <w:gridCol w:w="1520"/>
        <w:gridCol w:w="164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43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内容</w:t>
            </w:r>
          </w:p>
        </w:tc>
        <w:tc>
          <w:tcPr>
            <w:tcW w:w="98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暂定工程量</w:t>
            </w:r>
          </w:p>
        </w:tc>
        <w:tc>
          <w:tcPr>
            <w:tcW w:w="1084"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单位</w:t>
            </w:r>
          </w:p>
        </w:tc>
        <w:tc>
          <w:tcPr>
            <w:tcW w:w="152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rPr>
              <w:t>单价(元)</w:t>
            </w:r>
          </w:p>
        </w:tc>
        <w:tc>
          <w:tcPr>
            <w:tcW w:w="164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总</w:t>
            </w:r>
            <w:r>
              <w:rPr>
                <w:rFonts w:hint="eastAsia" w:ascii="仿宋" w:hAnsi="仿宋" w:eastAsia="仿宋" w:cs="仿宋"/>
                <w:b/>
                <w:bCs/>
                <w:sz w:val="24"/>
                <w:szCs w:val="24"/>
              </w:rPr>
              <w:t>价(元)</w:t>
            </w:r>
          </w:p>
        </w:tc>
        <w:tc>
          <w:tcPr>
            <w:tcW w:w="110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438" w:type="dxa"/>
            <w:noWrap w:val="0"/>
            <w:vAlign w:val="center"/>
          </w:tcPr>
          <w:p>
            <w:pPr>
              <w:jc w:val="center"/>
              <w:rPr>
                <w:rFonts w:hint="eastAsia" w:ascii="仿宋_GB2312" w:hAnsi="宋体" w:eastAsia="仿宋_GB2312" w:cs="仿宋_GB2312"/>
                <w:snapToGrid w:val="0"/>
                <w:color w:val="000000"/>
                <w:sz w:val="21"/>
                <w:szCs w:val="21"/>
                <w:highlight w:val="none"/>
                <w:lang w:val="en-US" w:eastAsia="zh-CN" w:bidi="ar-SA"/>
              </w:rPr>
            </w:pPr>
            <w:r>
              <w:rPr>
                <w:rFonts w:hint="eastAsia" w:ascii="仿宋_GB2312" w:hAnsi="宋体" w:eastAsia="仿宋_GB2312" w:cs="仿宋_GB2312"/>
                <w:sz w:val="21"/>
                <w:szCs w:val="21"/>
                <w:highlight w:val="none"/>
                <w:lang w:val="en-US" w:eastAsia="zh-CN"/>
              </w:rPr>
              <w:t>钢筋HRB直径28</w:t>
            </w:r>
          </w:p>
        </w:tc>
        <w:tc>
          <w:tcPr>
            <w:tcW w:w="988" w:type="dxa"/>
            <w:noWrap w:val="0"/>
            <w:vAlign w:val="center"/>
          </w:tcPr>
          <w:p>
            <w:pPr>
              <w:jc w:val="center"/>
              <w:rPr>
                <w:rFonts w:hint="default" w:ascii="仿宋_GB2312" w:hAnsi="宋体" w:eastAsia="仿宋_GB2312" w:cs="仿宋_GB2312"/>
                <w:snapToGrid w:val="0"/>
                <w:color w:val="000000"/>
                <w:sz w:val="21"/>
                <w:szCs w:val="21"/>
                <w:highlight w:val="none"/>
                <w:lang w:val="en-US" w:eastAsia="en-US" w:bidi="ar-SA"/>
              </w:rPr>
            </w:pPr>
            <w:r>
              <w:rPr>
                <w:rFonts w:hint="eastAsia" w:ascii="仿宋_GB2312" w:hAnsi="宋体" w:eastAsia="仿宋_GB2312" w:cs="仿宋_GB2312"/>
                <w:sz w:val="21"/>
                <w:szCs w:val="21"/>
                <w:highlight w:val="none"/>
                <w:lang w:val="en-US" w:eastAsia="zh-CN"/>
              </w:rPr>
              <w:t>14</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吨</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黑体"/>
                <w:snapToGrid w:val="0"/>
                <w:color w:val="000000"/>
                <w:kern w:val="2"/>
                <w:sz w:val="15"/>
                <w:szCs w:val="15"/>
                <w:u w:val="single"/>
                <w:lang w:val="en-US" w:eastAsia="zh-CN" w:bidi="ar-SA"/>
              </w:rPr>
            </w:pPr>
            <w:r>
              <w:rPr>
                <w:rFonts w:hint="eastAsia" w:ascii="宋体" w:hAnsi="宋体" w:eastAsia="宋体" w:cs="黑体"/>
                <w:snapToGrid w:val="0"/>
                <w:color w:val="000000"/>
                <w:kern w:val="2"/>
                <w:sz w:val="15"/>
                <w:szCs w:val="15"/>
                <w:lang w:val="en-US" w:eastAsia="zh-CN" w:bidi="ar-SA"/>
              </w:rPr>
              <w:t xml:space="preserve">报价按采购供货当天我的钢铁网对应钢厂及品规价格上下浮动比例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438" w:type="dxa"/>
            <w:noWrap w:val="0"/>
            <w:vAlign w:val="center"/>
          </w:tcPr>
          <w:p>
            <w:pPr>
              <w:jc w:val="center"/>
              <w:rPr>
                <w:rFonts w:hint="eastAsia" w:ascii="仿宋_GB2312" w:hAnsi="宋体" w:eastAsia="仿宋_GB2312" w:cs="仿宋_GB2312"/>
                <w:snapToGrid w:val="0"/>
                <w:color w:val="000000"/>
                <w:kern w:val="2"/>
                <w:sz w:val="21"/>
                <w:szCs w:val="21"/>
                <w:highlight w:val="none"/>
                <w:lang w:val="en-US" w:eastAsia="zh-CN" w:bidi="ar-SA"/>
              </w:rPr>
            </w:pPr>
            <w:r>
              <w:rPr>
                <w:rFonts w:hint="eastAsia" w:ascii="仿宋_GB2312" w:hAnsi="宋体" w:eastAsia="仿宋_GB2312" w:cs="仿宋_GB2312"/>
                <w:sz w:val="21"/>
                <w:szCs w:val="21"/>
                <w:highlight w:val="none"/>
                <w:lang w:val="en-US" w:eastAsia="zh-CN"/>
              </w:rPr>
              <w:t>钢筋HRB直径18</w:t>
            </w:r>
          </w:p>
        </w:tc>
        <w:tc>
          <w:tcPr>
            <w:tcW w:w="988" w:type="dxa"/>
            <w:noWrap w:val="0"/>
            <w:vAlign w:val="center"/>
          </w:tcPr>
          <w:p>
            <w:pPr>
              <w:jc w:val="center"/>
              <w:rPr>
                <w:rFonts w:hint="default" w:ascii="仿宋_GB2312" w:hAnsi="宋体" w:eastAsia="仿宋_GB2312" w:cs="仿宋_GB2312"/>
                <w:snapToGrid w:val="0"/>
                <w:color w:val="000000"/>
                <w:sz w:val="21"/>
                <w:szCs w:val="21"/>
                <w:highlight w:val="none"/>
                <w:lang w:val="en-US" w:eastAsia="zh-CN" w:bidi="ar-SA"/>
              </w:rPr>
            </w:pPr>
            <w:r>
              <w:rPr>
                <w:rFonts w:hint="eastAsia" w:ascii="仿宋_GB2312" w:hAnsi="宋体" w:eastAsia="仿宋_GB2312" w:cs="仿宋_GB2312"/>
                <w:sz w:val="21"/>
                <w:szCs w:val="21"/>
                <w:highlight w:val="none"/>
                <w:lang w:val="en-US" w:eastAsia="zh-CN"/>
              </w:rPr>
              <w:t>13</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吨</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黑体"/>
                <w:snapToGrid w:val="0"/>
                <w:color w:val="000000"/>
                <w:kern w:val="2"/>
                <w:sz w:val="15"/>
                <w:szCs w:val="15"/>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钢筋盘螺直径8</w:t>
            </w:r>
          </w:p>
        </w:tc>
        <w:tc>
          <w:tcPr>
            <w:tcW w:w="988" w:type="dxa"/>
            <w:noWrap w:val="0"/>
            <w:vAlign w:val="center"/>
          </w:tcPr>
          <w:p>
            <w:pPr>
              <w:jc w:val="center"/>
              <w:rPr>
                <w:rFonts w:hint="default" w:ascii="仿宋_GB2312" w:hAnsi="宋体" w:eastAsia="仿宋_GB2312" w:cs="仿宋_GB2312"/>
                <w:snapToGrid w:val="0"/>
                <w:color w:val="000000"/>
                <w:kern w:val="2"/>
                <w:sz w:val="21"/>
                <w:szCs w:val="21"/>
                <w:highlight w:val="none"/>
                <w:lang w:val="en-US" w:eastAsia="en-US" w:bidi="ar-SA"/>
              </w:rPr>
            </w:pPr>
            <w:r>
              <w:rPr>
                <w:rFonts w:hint="eastAsia" w:ascii="仿宋_GB2312" w:hAnsi="宋体" w:eastAsia="仿宋_GB2312" w:cs="仿宋_GB2312"/>
                <w:sz w:val="21"/>
                <w:szCs w:val="21"/>
                <w:highlight w:val="none"/>
                <w:lang w:val="en-US" w:eastAsia="zh-CN"/>
              </w:rPr>
              <w:t>9.5</w:t>
            </w: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仿宋_GB2312" w:hAnsi="宋体" w:eastAsia="仿宋_GB2312" w:cs="仿宋_GB2312"/>
                <w:sz w:val="21"/>
                <w:szCs w:val="21"/>
                <w:highlight w:val="none"/>
                <w:lang w:val="en-US" w:eastAsia="zh-CN"/>
              </w:rPr>
              <w:t>吨</w:t>
            </w:r>
          </w:p>
        </w:tc>
        <w:tc>
          <w:tcPr>
            <w:tcW w:w="152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sz w:val="24"/>
                <w:szCs w:val="24"/>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left"/>
              <w:rPr>
                <w:rFonts w:hint="eastAsia" w:ascii="宋体" w:hAnsi="宋体" w:eastAsia="宋体" w:cs="黑体"/>
                <w:snapToGrid w:val="0"/>
                <w:color w:val="000000"/>
                <w:kern w:val="2"/>
                <w:sz w:val="15"/>
                <w:szCs w:val="15"/>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5"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43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zh-CN" w:bidi="ar-SA"/>
              </w:rPr>
            </w:pPr>
            <w:r>
              <w:rPr>
                <w:rFonts w:hint="eastAsia" w:ascii="宋体" w:hAnsi="宋体" w:eastAsia="宋体" w:cs="黑体"/>
                <w:snapToGrid w:val="0"/>
                <w:color w:val="000000"/>
                <w:kern w:val="2"/>
                <w:sz w:val="21"/>
                <w:szCs w:val="21"/>
                <w:lang w:val="en-US" w:eastAsia="zh-CN" w:bidi="ar-SA"/>
              </w:rPr>
              <w:t>合计</w:t>
            </w:r>
          </w:p>
        </w:tc>
        <w:tc>
          <w:tcPr>
            <w:tcW w:w="988"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1"/>
                <w:szCs w:val="21"/>
                <w:lang w:val="en-US" w:eastAsia="en-US" w:bidi="ar-SA"/>
              </w:rPr>
            </w:pPr>
          </w:p>
        </w:tc>
        <w:tc>
          <w:tcPr>
            <w:tcW w:w="1084"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黑体"/>
                <w:snapToGrid w:val="0"/>
                <w:color w:val="000000"/>
                <w:kern w:val="2"/>
                <w:sz w:val="21"/>
                <w:szCs w:val="21"/>
                <w:lang w:val="en-US" w:eastAsia="en-US" w:bidi="ar-SA"/>
              </w:rPr>
            </w:pPr>
          </w:p>
        </w:tc>
        <w:tc>
          <w:tcPr>
            <w:tcW w:w="1520"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640"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snapToGrid w:val="0"/>
                <w:color w:val="000000"/>
                <w:sz w:val="22"/>
                <w:szCs w:val="22"/>
                <w:u w:val="none"/>
                <w:lang w:val="en-US" w:eastAsia="en-US" w:bidi="ar-SA"/>
              </w:rPr>
            </w:pPr>
          </w:p>
        </w:tc>
        <w:tc>
          <w:tcPr>
            <w:tcW w:w="1105" w:type="dxa"/>
            <w:vMerge w:val="continue"/>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黑体"/>
                <w:snapToGrid w:val="0"/>
                <w:color w:val="000000"/>
                <w:kern w:val="2"/>
                <w:sz w:val="15"/>
                <w:szCs w:val="15"/>
                <w:lang w:val="en-US" w:eastAsia="en-US" w:bidi="ar-SA"/>
              </w:rPr>
            </w:pPr>
          </w:p>
        </w:tc>
      </w:tr>
    </w:tbl>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注：1.以上报价是否含税：是</w:t>
      </w:r>
      <w:r>
        <w:rPr>
          <w:rFonts w:hint="eastAsia" w:ascii="仿宋" w:hAnsi="仿宋" w:eastAsia="仿宋" w:cs="仿宋"/>
          <w:sz w:val="32"/>
          <w:szCs w:val="32"/>
        </w:rPr>
        <w:sym w:font="Wingdings" w:char="00A8"/>
      </w:r>
      <w:r>
        <w:rPr>
          <w:rFonts w:hint="eastAsia" w:ascii="仿宋" w:hAnsi="仿宋" w:eastAsia="仿宋" w:cs="仿宋"/>
          <w:sz w:val="32"/>
          <w:szCs w:val="32"/>
        </w:rPr>
        <w:t>（税率：</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13</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 否</w:t>
      </w:r>
      <w:r>
        <w:rPr>
          <w:rFonts w:hint="eastAsia" w:ascii="仿宋" w:hAnsi="仿宋" w:eastAsia="仿宋" w:cs="仿宋"/>
          <w:sz w:val="32"/>
          <w:szCs w:val="32"/>
        </w:rPr>
        <w:sym w:font="Wingdings" w:char="F0A8"/>
      </w:r>
    </w:p>
    <w:p>
      <w:pPr>
        <w:tabs>
          <w:tab w:val="left" w:pos="3360"/>
        </w:tabs>
        <w:adjustRightInd w:val="0"/>
        <w:snapToGrid w:val="0"/>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2.以上材料报价有效期为</w:t>
      </w:r>
      <w:r>
        <w:rPr>
          <w:rFonts w:hint="eastAsia" w:ascii="仿宋" w:hAnsi="仿宋" w:eastAsia="仿宋" w:cs="仿宋"/>
          <w:sz w:val="32"/>
          <w:szCs w:val="32"/>
          <w:u w:val="single"/>
        </w:rPr>
        <w:t>30</w:t>
      </w:r>
      <w:r>
        <w:rPr>
          <w:rFonts w:hint="eastAsia" w:ascii="仿宋" w:hAnsi="仿宋" w:eastAsia="仿宋" w:cs="仿宋"/>
          <w:sz w:val="32"/>
          <w:szCs w:val="32"/>
        </w:rPr>
        <w:t>天。</w:t>
      </w:r>
    </w:p>
    <w:p>
      <w:pPr>
        <w:numPr>
          <w:ilvl w:val="0"/>
          <w:numId w:val="2"/>
        </w:numPr>
        <w:tabs>
          <w:tab w:val="left" w:pos="3360"/>
        </w:tabs>
        <w:adjustRightInd w:val="0"/>
        <w:snapToGrid w:val="0"/>
        <w:spacing w:line="360" w:lineRule="auto"/>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结算方式：</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1.商业承兑，接收比例或金额：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sym w:font="Wingdings" w:char="F0A8"/>
      </w:r>
      <w:r>
        <w:rPr>
          <w:rFonts w:hint="eastAsia" w:ascii="仿宋" w:hAnsi="仿宋" w:eastAsia="仿宋" w:cs="仿宋"/>
          <w:sz w:val="32"/>
          <w:szCs w:val="32"/>
        </w:rPr>
        <w:t>2.银行承兑，接收比例或金额：</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sym w:font="Wingdings" w:char="F0A8"/>
      </w:r>
      <w:r>
        <w:rPr>
          <w:rFonts w:hint="eastAsia" w:ascii="仿宋" w:hAnsi="仿宋" w:eastAsia="仿宋" w:cs="仿宋"/>
          <w:sz w:val="32"/>
          <w:szCs w:val="32"/>
        </w:rPr>
        <w:t>3.现金结算。</w:t>
      </w:r>
    </w:p>
    <w:p>
      <w:pPr>
        <w:tabs>
          <w:tab w:val="left" w:pos="3360"/>
        </w:tabs>
        <w:adjustRightInd w:val="0"/>
        <w:snapToGrid w:val="0"/>
        <w:spacing w:line="360" w:lineRule="auto"/>
        <w:ind w:left="643"/>
        <w:jc w:val="left"/>
        <w:rPr>
          <w:rFonts w:hint="eastAsia" w:ascii="仿宋" w:hAnsi="仿宋" w:eastAsia="仿宋" w:cs="仿宋"/>
          <w:b/>
          <w:bCs/>
          <w:sz w:val="32"/>
          <w:szCs w:val="32"/>
        </w:rPr>
      </w:pPr>
      <w:r>
        <w:rPr>
          <w:rFonts w:hint="eastAsia" w:ascii="仿宋" w:hAnsi="仿宋" w:eastAsia="仿宋" w:cs="仿宋"/>
          <w:b/>
          <w:bCs/>
          <w:sz w:val="32"/>
          <w:szCs w:val="32"/>
        </w:rPr>
        <w:t>四、付款方式：</w:t>
      </w:r>
    </w:p>
    <w:p>
      <w:pPr>
        <w:tabs>
          <w:tab w:val="left" w:pos="3360"/>
        </w:tabs>
        <w:adjustRightInd w:val="0"/>
        <w:snapToGrid w:val="0"/>
        <w:spacing w:line="360" w:lineRule="auto"/>
        <w:jc w:val="left"/>
        <w:rPr>
          <w:rFonts w:hint="default" w:ascii="仿宋" w:hAnsi="仿宋" w:eastAsia="仿宋" w:cs="仿宋"/>
          <w:sz w:val="32"/>
          <w:szCs w:val="32"/>
          <w:u w:val="single"/>
          <w:lang w:val="en-US" w:eastAsia="zh-CN"/>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无预付款，供货当月月结供货量的80%、剩余全部供货结束后一个月内付清结算款项</w:t>
      </w:r>
    </w:p>
    <w:p>
      <w:pPr>
        <w:tabs>
          <w:tab w:val="left" w:pos="3360"/>
        </w:tabs>
        <w:adjustRightInd w:val="0"/>
        <w:snapToGrid w:val="0"/>
        <w:spacing w:line="360" w:lineRule="auto"/>
        <w:jc w:val="left"/>
        <w:rPr>
          <w:rFonts w:hint="eastAsia" w:ascii="仿宋" w:hAnsi="仿宋" w:eastAsia="仿宋" w:cs="仿宋"/>
          <w:sz w:val="32"/>
          <w:szCs w:val="32"/>
        </w:rPr>
      </w:pPr>
      <w:r>
        <w:rPr>
          <w:rFonts w:hint="eastAsia" w:ascii="仿宋" w:hAnsi="仿宋" w:eastAsia="仿宋" w:cs="仿宋"/>
          <w:sz w:val="32"/>
          <w:szCs w:val="32"/>
        </w:rPr>
        <w:t>报价人（个人签字、单位盖章）：        代表：                    联系电话：</w:t>
      </w:r>
    </w:p>
    <w:p>
      <w:pPr>
        <w:tabs>
          <w:tab w:val="left" w:pos="3360"/>
        </w:tabs>
        <w:adjustRightInd w:val="0"/>
        <w:snapToGrid w:val="0"/>
        <w:spacing w:line="360" w:lineRule="auto"/>
        <w:jc w:val="left"/>
        <w:rPr>
          <w:rFonts w:hint="eastAsia" w:ascii="仿宋" w:hAnsi="仿宋" w:eastAsia="仿宋" w:cs="仿宋"/>
          <w:b/>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 xml:space="preserve">报价日期：  年   月  </w:t>
      </w:r>
      <w:r>
        <w:rPr>
          <w:rFonts w:hint="eastAsia" w:ascii="仿宋" w:hAnsi="仿宋" w:eastAsia="仿宋" w:cs="仿宋"/>
          <w:sz w:val="32"/>
          <w:szCs w:val="32"/>
          <w:lang w:val="en-US" w:eastAsia="zh-CN"/>
        </w:rPr>
        <w:t>日</w:t>
      </w:r>
    </w:p>
    <w:p>
      <w:pPr>
        <w:rPr>
          <w:rFonts w:hint="eastAsia"/>
        </w:rPr>
      </w:pPr>
    </w:p>
    <w:p>
      <w:pPr>
        <w:pStyle w:val="2"/>
        <w:tabs>
          <w:tab w:val="left" w:pos="3149"/>
        </w:tabs>
        <w:overflowPunct w:val="0"/>
        <w:ind w:right="68"/>
        <w:jc w:val="center"/>
        <w:rPr>
          <w:rFonts w:hint="eastAsia" w:ascii="仿宋" w:hAnsi="仿宋" w:eastAsia="仿宋" w:cs="仿宋"/>
          <w:b/>
          <w:sz w:val="36"/>
          <w:szCs w:val="36"/>
        </w:rPr>
      </w:pPr>
    </w:p>
    <w:p>
      <w:pPr>
        <w:pStyle w:val="2"/>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2"/>
        <w:tabs>
          <w:tab w:val="left" w:pos="3149"/>
        </w:tabs>
        <w:overflowPunct w:val="0"/>
        <w:ind w:right="68"/>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0"/>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2"/>
        <w:overflowPunct w:val="0"/>
        <w:rPr>
          <w:rFonts w:hint="eastAsia" w:ascii="仿宋" w:hAnsi="仿宋" w:eastAsia="仿宋" w:cs="仿宋"/>
          <w:sz w:val="18"/>
          <w:szCs w:val="18"/>
        </w:rPr>
      </w:pPr>
    </w:p>
    <w:p>
      <w:pPr>
        <w:pStyle w:val="10"/>
        <w:autoSpaceDE/>
        <w:autoSpaceDN/>
        <w:adjustRightInd/>
        <w:spacing w:line="560" w:lineRule="exact"/>
        <w:jc w:val="both"/>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0"/>
        <w:autoSpaceDE/>
        <w:autoSpaceDN/>
        <w:adjustRightInd/>
        <w:spacing w:line="560" w:lineRule="exact"/>
        <w:rPr>
          <w:rFonts w:hint="eastAsia" w:ascii="仿宋" w:hAnsi="仿宋" w:eastAsia="仿宋" w:cs="仿宋"/>
          <w:kern w:val="2"/>
          <w:szCs w:val="24"/>
        </w:rPr>
      </w:pPr>
    </w:p>
    <w:p>
      <w:pPr>
        <w:pStyle w:val="10"/>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
    <w:p/>
    <w:p/>
    <w:p/>
    <w:p/>
    <w:p/>
    <w:p/>
    <w:p>
      <w:pPr>
        <w:rPr>
          <w:rFonts w:hint="eastAsia" w:eastAsia="宋体"/>
          <w:b/>
          <w:bCs/>
          <w:sz w:val="36"/>
          <w:szCs w:val="36"/>
          <w:lang w:val="en-US" w:eastAsia="zh-CN"/>
        </w:rPr>
      </w:pPr>
      <w:r>
        <w:rPr>
          <w:rFonts w:hint="eastAsia" w:eastAsia="宋体"/>
          <w:b/>
          <w:bCs/>
          <w:sz w:val="36"/>
          <w:szCs w:val="36"/>
          <w:lang w:val="en-US" w:eastAsia="zh-CN"/>
        </w:rPr>
        <w:t>营业执照及相关资质证明：</w:t>
      </w: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rPr>
          <w:rFonts w:hint="eastAsia" w:eastAsia="宋体"/>
          <w:b/>
          <w:bCs/>
          <w:sz w:val="36"/>
          <w:szCs w:val="36"/>
          <w:lang w:val="en-US" w:eastAsia="zh-CN"/>
        </w:rPr>
      </w:pPr>
    </w:p>
    <w:p>
      <w:pPr>
        <w:ind w:right="359" w:rightChars="171"/>
        <w:jc w:val="center"/>
        <w:rPr>
          <w:rFonts w:hint="eastAsia" w:ascii="宋体" w:hAnsi="宋体"/>
          <w:b/>
          <w:color w:val="auto"/>
          <w:sz w:val="72"/>
          <w:szCs w:val="72"/>
        </w:rPr>
      </w:pPr>
      <w:r>
        <w:rPr>
          <w:rFonts w:hint="eastAsia" w:ascii="宋体" w:hAnsi="宋体"/>
          <w:b/>
          <w:color w:val="auto"/>
          <w:sz w:val="72"/>
          <w:szCs w:val="72"/>
        </w:rPr>
        <w:t>材料采购合同</w:t>
      </w:r>
    </w:p>
    <w:p>
      <w:pPr>
        <w:adjustRightInd w:val="0"/>
        <w:snapToGrid w:val="0"/>
        <w:spacing w:line="360" w:lineRule="auto"/>
        <w:ind w:firstLine="560" w:firstLineChars="200"/>
        <w:jc w:val="left"/>
        <w:rPr>
          <w:rFonts w:hint="eastAsia" w:ascii="宋体" w:hAnsi="宋体"/>
          <w:color w:val="auto"/>
          <w:sz w:val="28"/>
          <w:szCs w:val="28"/>
        </w:rPr>
      </w:pP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购货方：</w:t>
      </w:r>
      <w:r>
        <w:rPr>
          <w:rFonts w:hint="eastAsia" w:ascii="宋体" w:hAnsi="宋体"/>
          <w:color w:val="auto"/>
          <w:sz w:val="24"/>
          <w:u w:val="single"/>
          <w:lang w:val="en-US" w:eastAsia="zh-CN"/>
        </w:rPr>
        <w:t xml:space="preserve">                         </w:t>
      </w:r>
      <w:r>
        <w:rPr>
          <w:rFonts w:hint="eastAsia" w:ascii="宋体" w:hAnsi="宋体"/>
          <w:color w:val="auto"/>
          <w:sz w:val="24"/>
        </w:rPr>
        <w:t xml:space="preserve"> (以下简称甲方)</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供货方：</w:t>
      </w:r>
      <w:r>
        <w:rPr>
          <w:rFonts w:hint="eastAsia" w:ascii="宋体" w:hAnsi="宋体"/>
          <w:color w:val="auto"/>
          <w:sz w:val="24"/>
          <w:u w:val="single"/>
          <w:lang w:val="en-US" w:eastAsia="zh-CN"/>
        </w:rPr>
        <w:t xml:space="preserve">                         </w:t>
      </w:r>
      <w:r>
        <w:rPr>
          <w:rFonts w:hint="eastAsia" w:ascii="宋体" w:hAnsi="宋体"/>
          <w:color w:val="auto"/>
          <w:sz w:val="24"/>
        </w:rPr>
        <w:t xml:space="preserve"> （以下简称乙方）                     </w:t>
      </w:r>
    </w:p>
    <w:p>
      <w:pPr>
        <w:adjustRightInd w:val="0"/>
        <w:snapToGrid w:val="0"/>
        <w:spacing w:line="360" w:lineRule="auto"/>
        <w:ind w:firstLine="480" w:firstLineChars="200"/>
        <w:jc w:val="left"/>
        <w:rPr>
          <w:rFonts w:ascii="宋体" w:hAnsi="宋体"/>
          <w:color w:val="auto"/>
          <w:sz w:val="24"/>
        </w:rPr>
      </w:pPr>
      <w:r>
        <w:rPr>
          <w:rFonts w:hint="eastAsia" w:ascii="宋体" w:hAnsi="宋体"/>
          <w:color w:val="auto"/>
          <w:sz w:val="24"/>
        </w:rPr>
        <w:t>依照《中华人民共和国民法典》及其它有关法律、行政法规，甲、乙双方遵循平等、自愿、公平、诚信和互利的原则，经充分协商,就甲方</w:t>
      </w:r>
      <w:r>
        <w:rPr>
          <w:rFonts w:hint="eastAsia" w:ascii="宋体" w:hAnsi="宋体"/>
          <w:color w:val="auto"/>
          <w:sz w:val="24"/>
          <w:u w:val="single"/>
          <w:lang w:val="en-US" w:eastAsia="zh-CN"/>
        </w:rPr>
        <w:t xml:space="preserve">                    </w:t>
      </w:r>
      <w:r>
        <w:rPr>
          <w:rFonts w:hint="eastAsia" w:ascii="宋体" w:hAnsi="宋体"/>
          <w:color w:val="auto"/>
          <w:sz w:val="24"/>
        </w:rPr>
        <w:t>所需</w:t>
      </w:r>
      <w:r>
        <w:rPr>
          <w:rFonts w:hint="eastAsia" w:ascii="宋体" w:hAnsi="宋体"/>
          <w:color w:val="auto"/>
          <w:sz w:val="24"/>
          <w:u w:val="single"/>
          <w:lang w:val="en-US" w:eastAsia="zh-CN"/>
        </w:rPr>
        <w:t xml:space="preserve">        </w:t>
      </w:r>
      <w:r>
        <w:rPr>
          <w:rFonts w:hint="eastAsia" w:ascii="宋体" w:hAnsi="宋体"/>
          <w:color w:val="auto"/>
          <w:sz w:val="24"/>
        </w:rPr>
        <w:t>的采购事宜，签订本合同，以资共同信守执行。</w:t>
      </w:r>
    </w:p>
    <w:p>
      <w:pPr>
        <w:adjustRightInd w:val="0"/>
        <w:snapToGrid w:val="0"/>
        <w:spacing w:line="360" w:lineRule="auto"/>
        <w:ind w:firstLine="480" w:firstLineChars="200"/>
        <w:jc w:val="left"/>
        <w:rPr>
          <w:rFonts w:hint="default" w:ascii="宋体" w:hAnsi="宋体" w:eastAsia="宋体"/>
          <w:color w:val="auto"/>
          <w:sz w:val="24"/>
          <w:u w:val="single"/>
          <w:lang w:val="en-US" w:eastAsia="zh-CN"/>
        </w:rPr>
      </w:pPr>
      <w:r>
        <w:rPr>
          <w:rFonts w:hint="eastAsia" w:ascii="宋体" w:hAnsi="宋体"/>
          <w:color w:val="auto"/>
          <w:sz w:val="24"/>
        </w:rPr>
        <w:t>工程所在地：</w:t>
      </w:r>
      <w:r>
        <w:rPr>
          <w:rFonts w:hint="eastAsia" w:ascii="宋体" w:hAnsi="宋体"/>
          <w:color w:val="auto"/>
          <w:sz w:val="24"/>
          <w:lang w:val="en-US" w:eastAsia="zh-CN"/>
        </w:rPr>
        <w:t xml:space="preserve"> </w:t>
      </w:r>
      <w:r>
        <w:rPr>
          <w:rFonts w:hint="eastAsia" w:ascii="宋体" w:hAnsi="宋体"/>
          <w:color w:val="auto"/>
          <w:sz w:val="24"/>
          <w:u w:val="single"/>
          <w:lang w:val="en-US" w:eastAsia="zh-CN"/>
        </w:rPr>
        <w:t xml:space="preserve">                    </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第一条 物资名称、规格型号、数量、单价、金额</w:t>
      </w:r>
    </w:p>
    <w:tbl>
      <w:tblPr>
        <w:tblStyle w:val="8"/>
        <w:tblW w:w="9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988"/>
        <w:gridCol w:w="2344"/>
        <w:gridCol w:w="1222"/>
        <w:gridCol w:w="1589"/>
        <w:gridCol w:w="161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6"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序号</w:t>
            </w:r>
          </w:p>
        </w:tc>
        <w:tc>
          <w:tcPr>
            <w:tcW w:w="988"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名称</w:t>
            </w:r>
          </w:p>
        </w:tc>
        <w:tc>
          <w:tcPr>
            <w:tcW w:w="2344"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规格</w:t>
            </w:r>
          </w:p>
        </w:tc>
        <w:tc>
          <w:tcPr>
            <w:tcW w:w="1222"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暂定数量</w:t>
            </w:r>
          </w:p>
        </w:tc>
        <w:tc>
          <w:tcPr>
            <w:tcW w:w="1589"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单价(元)</w:t>
            </w:r>
          </w:p>
        </w:tc>
        <w:tc>
          <w:tcPr>
            <w:tcW w:w="1611"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lang w:val="en-US" w:eastAsia="zh-CN"/>
              </w:rPr>
              <w:t>合</w:t>
            </w:r>
            <w:r>
              <w:rPr>
                <w:rFonts w:hint="eastAsia" w:ascii="仿宋" w:hAnsi="仿宋" w:eastAsia="仿宋" w:cs="仿宋"/>
                <w:b/>
                <w:bCs/>
                <w:sz w:val="30"/>
                <w:szCs w:val="30"/>
              </w:rPr>
              <w:t>价(元)</w:t>
            </w:r>
          </w:p>
        </w:tc>
        <w:tc>
          <w:tcPr>
            <w:tcW w:w="7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b/>
                <w:bCs/>
                <w:sz w:val="30"/>
                <w:szCs w:val="30"/>
              </w:rPr>
            </w:pPr>
            <w:r>
              <w:rPr>
                <w:rFonts w:hint="eastAsia" w:ascii="仿宋" w:hAnsi="仿宋" w:eastAsia="仿宋" w:cs="仿宋"/>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default" w:ascii="Calibri" w:hAnsi="Calibri" w:eastAsia="宋体" w:cs="Calibri"/>
                <w:snapToGrid w:val="0"/>
                <w:color w:val="000000"/>
                <w:kern w:val="2"/>
                <w:sz w:val="21"/>
                <w:szCs w:val="21"/>
                <w:lang w:val="en-US" w:eastAsia="zh-CN" w:bidi="ar"/>
              </w:rPr>
              <w:t>1</w:t>
            </w:r>
          </w:p>
        </w:tc>
        <w:tc>
          <w:tcPr>
            <w:tcW w:w="988" w:type="dxa"/>
            <w:noWrap w:val="0"/>
            <w:vAlign w:val="center"/>
          </w:tcPr>
          <w:p>
            <w:pPr>
              <w:keepNext w:val="0"/>
              <w:keepLines w:val="0"/>
              <w:widowControl w:val="0"/>
              <w:suppressLineNumbers w:val="0"/>
              <w:spacing w:before="0" w:beforeAutospacing="0" w:after="0" w:afterAutospacing="0"/>
              <w:ind w:left="0" w:leftChars="0" w:right="0" w:rightChars="0"/>
              <w:jc w:val="left"/>
              <w:rPr>
                <w:rFonts w:hint="default" w:ascii="仿宋" w:hAnsi="仿宋" w:eastAsia="仿宋" w:cs="仿宋"/>
                <w:lang w:val="en-US" w:eastAsia="zh-CN"/>
              </w:rPr>
            </w:pPr>
          </w:p>
        </w:tc>
        <w:tc>
          <w:tcPr>
            <w:tcW w:w="2344" w:type="dxa"/>
            <w:noWrap w:val="0"/>
            <w:vAlign w:val="center"/>
          </w:tcPr>
          <w:p>
            <w:pPr>
              <w:keepNext w:val="0"/>
              <w:keepLines w:val="0"/>
              <w:widowControl w:val="0"/>
              <w:suppressLineNumbers w:val="0"/>
              <w:spacing w:before="0" w:beforeAutospacing="0" w:after="0" w:afterAutospacing="0"/>
              <w:ind w:left="0" w:leftChars="0" w:right="0" w:rightChars="0"/>
              <w:jc w:val="left"/>
              <w:rPr>
                <w:rFonts w:hint="default" w:ascii="仿宋" w:hAnsi="仿宋" w:eastAsia="仿宋" w:cs="仿宋"/>
                <w:lang w:val="en-US" w:eastAsia="zh-CN"/>
              </w:rPr>
            </w:pPr>
          </w:p>
        </w:tc>
        <w:tc>
          <w:tcPr>
            <w:tcW w:w="1222" w:type="dxa"/>
            <w:noWrap w:val="0"/>
            <w:vAlign w:val="center"/>
          </w:tcPr>
          <w:p>
            <w:pPr>
              <w:keepNext w:val="0"/>
              <w:keepLines w:val="0"/>
              <w:widowControl w:val="0"/>
              <w:suppressLineNumbers w:val="0"/>
              <w:spacing w:before="0" w:beforeAutospacing="0" w:after="0" w:afterAutospacing="0"/>
              <w:ind w:left="0" w:leftChars="0" w:right="0" w:rightChars="0"/>
              <w:jc w:val="left"/>
              <w:rPr>
                <w:rFonts w:hint="default" w:ascii="仿宋" w:hAnsi="仿宋" w:eastAsia="仿宋" w:cs="仿宋"/>
                <w:lang w:val="en-US" w:eastAsia="zh-CN"/>
              </w:rPr>
            </w:pPr>
          </w:p>
        </w:tc>
        <w:tc>
          <w:tcPr>
            <w:tcW w:w="1589"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611"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763" w:type="dxa"/>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6" w:type="dxa"/>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仿宋" w:hAnsi="仿宋" w:eastAsia="仿宋" w:cs="仿宋"/>
                <w:sz w:val="24"/>
                <w:szCs w:val="24"/>
              </w:rPr>
            </w:pPr>
            <w:r>
              <w:rPr>
                <w:rFonts w:hint="default" w:ascii="Calibri" w:hAnsi="Calibri" w:eastAsia="宋体" w:cs="Calibri"/>
                <w:snapToGrid w:val="0"/>
                <w:color w:val="000000"/>
                <w:kern w:val="2"/>
                <w:sz w:val="21"/>
                <w:szCs w:val="21"/>
                <w:lang w:val="en-US" w:eastAsia="zh-CN" w:bidi="ar"/>
              </w:rPr>
              <w:t>2</w:t>
            </w:r>
          </w:p>
        </w:tc>
        <w:tc>
          <w:tcPr>
            <w:tcW w:w="988" w:type="dxa"/>
            <w:noWrap w:val="0"/>
            <w:vAlign w:val="center"/>
          </w:tcPr>
          <w:p>
            <w:pPr>
              <w:keepNext w:val="0"/>
              <w:keepLines w:val="0"/>
              <w:widowControl w:val="0"/>
              <w:suppressLineNumbers w:val="0"/>
              <w:spacing w:before="0" w:beforeAutospacing="0" w:after="0" w:afterAutospacing="0"/>
              <w:ind w:left="0" w:leftChars="0" w:right="0" w:rightChars="0"/>
              <w:jc w:val="left"/>
              <w:rPr>
                <w:rFonts w:hint="eastAsia" w:ascii="仿宋" w:hAnsi="仿宋" w:eastAsia="仿宋" w:cs="仿宋"/>
                <w:lang w:val="en-US" w:eastAsia="zh-CN"/>
              </w:rPr>
            </w:pPr>
          </w:p>
        </w:tc>
        <w:tc>
          <w:tcPr>
            <w:tcW w:w="2344" w:type="dxa"/>
            <w:noWrap w:val="0"/>
            <w:vAlign w:val="center"/>
          </w:tcPr>
          <w:p>
            <w:pPr>
              <w:keepNext w:val="0"/>
              <w:keepLines w:val="0"/>
              <w:widowControl w:val="0"/>
              <w:suppressLineNumbers w:val="0"/>
              <w:spacing w:before="0" w:beforeAutospacing="0" w:after="0" w:afterAutospacing="0"/>
              <w:ind w:left="0" w:leftChars="0" w:right="0" w:rightChars="0"/>
              <w:jc w:val="left"/>
              <w:rPr>
                <w:rFonts w:hint="default" w:ascii="仿宋" w:hAnsi="仿宋" w:eastAsia="仿宋" w:cs="仿宋"/>
                <w:lang w:val="en-US" w:eastAsia="zh-CN"/>
              </w:rPr>
            </w:pPr>
          </w:p>
        </w:tc>
        <w:tc>
          <w:tcPr>
            <w:tcW w:w="1222" w:type="dxa"/>
            <w:noWrap w:val="0"/>
            <w:vAlign w:val="center"/>
          </w:tcPr>
          <w:p>
            <w:pPr>
              <w:keepNext w:val="0"/>
              <w:keepLines w:val="0"/>
              <w:widowControl w:val="0"/>
              <w:suppressLineNumbers w:val="0"/>
              <w:spacing w:before="0" w:beforeAutospacing="0" w:after="0" w:afterAutospacing="0"/>
              <w:ind w:left="0" w:leftChars="0" w:right="0" w:rightChars="0"/>
              <w:jc w:val="left"/>
              <w:rPr>
                <w:rFonts w:hint="default" w:ascii="仿宋" w:hAnsi="仿宋" w:eastAsia="仿宋" w:cs="仿宋"/>
                <w:lang w:val="en-US" w:eastAsia="zh-CN"/>
              </w:rPr>
            </w:pPr>
          </w:p>
        </w:tc>
        <w:tc>
          <w:tcPr>
            <w:tcW w:w="1589"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1611"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763" w:type="dxa"/>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6"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lang w:eastAsia="zh-CN"/>
              </w:rPr>
            </w:pPr>
          </w:p>
        </w:tc>
        <w:tc>
          <w:tcPr>
            <w:tcW w:w="988" w:type="dxa"/>
            <w:noWrap w:val="0"/>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4"/>
                <w:lang w:val="en-US" w:eastAsia="zh-CN"/>
              </w:rPr>
            </w:pPr>
            <w:r>
              <w:rPr>
                <w:rFonts w:hint="eastAsia" w:ascii="仿宋" w:hAnsi="仿宋" w:eastAsia="仿宋" w:cs="仿宋"/>
                <w:b/>
                <w:bCs/>
                <w:color w:val="000000"/>
                <w:sz w:val="20"/>
                <w:szCs w:val="20"/>
                <w:lang w:val="en-US" w:eastAsia="zh-CN"/>
              </w:rPr>
              <w:t>合计</w:t>
            </w:r>
          </w:p>
        </w:tc>
        <w:tc>
          <w:tcPr>
            <w:tcW w:w="2344" w:type="dxa"/>
            <w:noWrap w:val="0"/>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4"/>
              </w:rPr>
            </w:pPr>
          </w:p>
        </w:tc>
        <w:tc>
          <w:tcPr>
            <w:tcW w:w="1222" w:type="dxa"/>
            <w:noWrap w:val="0"/>
            <w:vAlign w:val="top"/>
          </w:tcPr>
          <w:p>
            <w:pPr>
              <w:keepNext w:val="0"/>
              <w:keepLines w:val="0"/>
              <w:widowControl/>
              <w:suppressLineNumbers w:val="0"/>
              <w:spacing w:before="0" w:beforeAutospacing="0" w:after="0" w:afterAutospacing="0"/>
              <w:ind w:left="0" w:right="0"/>
              <w:jc w:val="center"/>
              <w:rPr>
                <w:rFonts w:hint="eastAsia" w:ascii="仿宋" w:hAnsi="仿宋" w:eastAsia="仿宋" w:cs="仿宋"/>
                <w:color w:val="000000"/>
                <w:szCs w:val="24"/>
              </w:rPr>
            </w:pPr>
          </w:p>
        </w:tc>
        <w:tc>
          <w:tcPr>
            <w:tcW w:w="1589"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eastAsia" w:ascii="仿宋" w:hAnsi="仿宋" w:eastAsia="仿宋" w:cs="仿宋"/>
                <w:sz w:val="24"/>
                <w:szCs w:val="24"/>
              </w:rPr>
            </w:pPr>
          </w:p>
        </w:tc>
        <w:tc>
          <w:tcPr>
            <w:tcW w:w="1611"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center"/>
              <w:rPr>
                <w:rFonts w:hint="default" w:ascii="仿宋" w:hAnsi="仿宋" w:eastAsia="仿宋" w:cs="仿宋"/>
                <w:sz w:val="24"/>
                <w:szCs w:val="24"/>
                <w:lang w:val="en-US" w:eastAsia="zh-CN"/>
              </w:rPr>
            </w:pPr>
          </w:p>
        </w:tc>
        <w:tc>
          <w:tcPr>
            <w:tcW w:w="763" w:type="dxa"/>
            <w:noWrap w:val="0"/>
            <w:vAlign w:val="center"/>
          </w:tcPr>
          <w:p>
            <w:pPr>
              <w:keepNext w:val="0"/>
              <w:keepLines w:val="0"/>
              <w:widowControl/>
              <w:suppressLineNumbers w:val="0"/>
              <w:tabs>
                <w:tab w:val="left" w:pos="3360"/>
              </w:tabs>
              <w:adjustRightInd w:val="0"/>
              <w:snapToGrid w:val="0"/>
              <w:spacing w:before="0" w:beforeAutospacing="0" w:after="0" w:afterAutospacing="0" w:line="360" w:lineRule="auto"/>
              <w:ind w:left="0" w:right="0"/>
              <w:jc w:val="left"/>
              <w:rPr>
                <w:rFonts w:hint="eastAsia" w:ascii="仿宋" w:hAnsi="仿宋" w:eastAsia="仿宋" w:cs="仿宋"/>
                <w:sz w:val="24"/>
                <w:szCs w:val="24"/>
              </w:rPr>
            </w:pPr>
          </w:p>
        </w:tc>
      </w:tr>
    </w:tbl>
    <w:p>
      <w:pPr>
        <w:adjustRightInd w:val="0"/>
        <w:snapToGrid w:val="0"/>
        <w:spacing w:line="360" w:lineRule="auto"/>
        <w:ind w:firstLine="480" w:firstLineChars="200"/>
        <w:jc w:val="left"/>
        <w:rPr>
          <w:rFonts w:hint="eastAsia" w:ascii="宋体" w:hAnsi="宋体"/>
          <w:color w:val="auto"/>
          <w:sz w:val="24"/>
        </w:rPr>
      </w:pP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此单价含13%增值税专用发票。如需方增加合同量，需另行签订合同。</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1、供货数量、时间和地点以甲方需求计划为准，结算数量为甲方实收数量，甲方有权对</w:t>
      </w:r>
      <w:r>
        <w:rPr>
          <w:rFonts w:hint="eastAsia" w:ascii="宋体" w:hAnsi="宋体"/>
          <w:bCs/>
          <w:color w:val="auto"/>
          <w:sz w:val="24"/>
        </w:rPr>
        <w:t>合同中的数量和交货时间做调整，乙方不得有异议。</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bCs/>
          <w:color w:val="auto"/>
          <w:sz w:val="24"/>
        </w:rPr>
        <w:t>2、乙方负责运输并卸货至甲方指定地点，合同价款中已包括物资款、运输费、装卸车费、管理费、利润、风险以及乙方因出售该物资应缴纳的一切税费等全部费用。本合同的总价为暂估价，甲方有权调整合同中材料计划或材料数量，以调整后的数量和规格为准，不影响本合同单价及其他条款的执行。</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第二条 技术标准（包括质量要求）</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进场的物资必须符合国家标准和工程设计标准及甲方提出的要求，如发生质量问题，实行包退、包换，确保进场材料质量合格率100%，并须在材料进场的同时提供材料的质量检验部门的产品材质证明书（甲方有权对所采购的材料进行进一步检测），且材质证明书内容要和现场进料单及标牌所标明内容相对应。甲方对产品的质量要求不限于施工前后的任何时间内及在工程完工后的保修期内，如对于需要在使用过程中才能发现质量缺陷的材料，在甲方提出质量异议后应立即予以无偿更换。乙方并应赔偿因质量问题给甲方及工程造成的一切损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2、材料质量应严格符合国家规范并符合</w:t>
      </w:r>
      <w:r>
        <w:rPr>
          <w:rFonts w:hint="eastAsia" w:ascii="宋体" w:hAnsi="宋体"/>
          <w:bCs/>
          <w:color w:val="auto"/>
          <w:sz w:val="24"/>
          <w:u w:val="single"/>
          <w:lang w:val="en-US" w:eastAsia="zh-CN"/>
        </w:rPr>
        <w:t xml:space="preserve">                       </w:t>
      </w:r>
      <w:r>
        <w:rPr>
          <w:rFonts w:hint="eastAsia" w:ascii="宋体" w:hAnsi="宋体"/>
          <w:bCs/>
          <w:color w:val="auto"/>
          <w:sz w:val="24"/>
        </w:rPr>
        <w:t>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3、乙方在收取材料款时必须提供符合国家规定和甲方要求的增值税专用发票（税率1</w:t>
      </w:r>
      <w:r>
        <w:rPr>
          <w:rFonts w:ascii="宋体" w:hAnsi="宋体"/>
          <w:bCs/>
          <w:color w:val="auto"/>
          <w:sz w:val="24"/>
        </w:rPr>
        <w:t>3％</w:t>
      </w:r>
      <w:r>
        <w:rPr>
          <w:rFonts w:hint="eastAsia" w:ascii="宋体" w:hAnsi="宋体"/>
          <w:bCs/>
          <w:color w:val="auto"/>
          <w:sz w:val="24"/>
        </w:rPr>
        <w:t>），若发票未及时送达导致发票不能抵扣的，推定为乙方的违约责任，乙方应按买方要求采取重新开具发票等补救措施。乙方提供的增值税专用发票未经过税务局认证，造成甲方不能抵扣的，乙方应支付未通过认证发票中载明的税款金额作为违约金。在乙方未提供发票前，甲方有权拒绝支付货款。</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第三条 交货方法、交货地点、交货期限</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1、交货地点:</w:t>
      </w:r>
      <w:r>
        <w:rPr>
          <w:rFonts w:hint="eastAsia"/>
          <w:color w:val="auto"/>
        </w:rPr>
        <w:t xml:space="preserve"> </w:t>
      </w:r>
      <w:r>
        <w:rPr>
          <w:rFonts w:hint="eastAsia" w:ascii="宋体" w:hAnsi="宋体" w:eastAsia="宋体" w:cs="Times New Roman"/>
          <w:color w:val="auto"/>
          <w:sz w:val="24"/>
          <w:u w:val="single"/>
          <w:lang w:val="en-US" w:eastAsia="zh-CN"/>
        </w:rPr>
        <w:t>项目</w:t>
      </w:r>
      <w:r>
        <w:rPr>
          <w:rFonts w:hint="eastAsia" w:ascii="宋体" w:hAnsi="宋体"/>
          <w:color w:val="auto"/>
          <w:sz w:val="24"/>
          <w:u w:val="single"/>
        </w:rPr>
        <w:t>现场</w:t>
      </w:r>
      <w:r>
        <w:rPr>
          <w:rFonts w:hint="eastAsia" w:ascii="宋体" w:hAnsi="宋体"/>
          <w:color w:val="auto"/>
          <w:sz w:val="24"/>
          <w:u w:val="single"/>
          <w:lang w:val="en-US" w:eastAsia="zh-CN"/>
        </w:rPr>
        <w:t>甲方指定位置</w:t>
      </w:r>
      <w:r>
        <w:rPr>
          <w:rFonts w:hint="eastAsia" w:ascii="宋体" w:hAnsi="宋体"/>
          <w:color w:val="auto"/>
          <w:sz w:val="24"/>
        </w:rPr>
        <w:t>，</w:t>
      </w:r>
      <w:r>
        <w:rPr>
          <w:rFonts w:hint="eastAsia" w:ascii="宋体" w:hAnsi="宋体"/>
          <w:bCs/>
          <w:color w:val="auto"/>
          <w:sz w:val="24"/>
        </w:rPr>
        <w:t>乙方必须保证按甲方的供货通知所要求的规格、数量、时间供应甲方合同明细中要求的合格物资运输至甲方指定地点并卸入指定地点，否则甲方有权拒绝签收。</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 xml:space="preserve">2、交货方式:订货、签收、对账确认方式：需方指定订货人员 </w:t>
      </w:r>
      <w:r>
        <w:rPr>
          <w:rFonts w:hint="eastAsia" w:ascii="宋体" w:hAnsi="宋体"/>
          <w:color w:val="auto"/>
          <w:sz w:val="24"/>
          <w:u w:val="single"/>
          <w:lang w:val="en-US" w:eastAsia="zh-CN"/>
        </w:rPr>
        <w:t xml:space="preserve">      </w:t>
      </w:r>
      <w:r>
        <w:rPr>
          <w:rFonts w:hint="eastAsia" w:ascii="宋体" w:hAnsi="宋体"/>
          <w:color w:val="auto"/>
          <w:sz w:val="24"/>
        </w:rPr>
        <w:t xml:space="preserve"> ,电话：</w:t>
      </w:r>
      <w:r>
        <w:rPr>
          <w:rFonts w:hint="eastAsia" w:ascii="宋体" w:hAnsi="宋体"/>
          <w:color w:val="auto"/>
          <w:sz w:val="24"/>
          <w:u w:val="single"/>
          <w:lang w:val="en-US" w:eastAsia="zh-CN"/>
        </w:rPr>
        <w:t xml:space="preserve">                  </w:t>
      </w:r>
      <w:r>
        <w:rPr>
          <w:rFonts w:hint="eastAsia" w:ascii="宋体" w:hAnsi="宋体"/>
          <w:color w:val="auto"/>
          <w:sz w:val="24"/>
        </w:rPr>
        <w:t xml:space="preserve"> ，提前2日向供方提供购货单。对账时间为每月15日前。需方变更供货计划或指定人员需提前2日书面通知供方，否则承担供方全部损失，非甲方指定人员签字的货单，甲方不予结算。</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3、交货日期:以物资实际运送到合同指定地点的日期为乙方的实际交货日期，并以此来确定是否构成逾期交货。构成逾期交货的应向甲方进行赔偿。逾期交货一天按该批次货款的</w:t>
      </w:r>
      <w:r>
        <w:rPr>
          <w:rFonts w:ascii="宋体" w:hAnsi="宋体"/>
          <w:bCs/>
          <w:color w:val="auto"/>
          <w:sz w:val="24"/>
        </w:rPr>
        <w:t>10％</w:t>
      </w:r>
      <w:r>
        <w:rPr>
          <w:rFonts w:hint="eastAsia" w:ascii="宋体" w:hAnsi="宋体"/>
          <w:bCs/>
          <w:color w:val="auto"/>
          <w:sz w:val="24"/>
        </w:rPr>
        <w:t>赔偿，对造成甲方重大损失时，乙方应赔偿甲方一切损失。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4、按甲方需用计划的要求，将本合同约定的材料保质、保量（乙方应具有应对施工高峰期和汛期的应急措施）、及时、齐备配套地供应到甲方指定地点。</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5、乙方应全方位保证并满足甲方的材料需要，合同执行过程中乙方不得停止供货。</w:t>
      </w:r>
    </w:p>
    <w:p>
      <w:pPr>
        <w:adjustRightInd w:val="0"/>
        <w:snapToGrid w:val="0"/>
        <w:spacing w:line="360" w:lineRule="auto"/>
        <w:ind w:firstLine="480" w:firstLineChars="200"/>
        <w:jc w:val="left"/>
        <w:rPr>
          <w:rFonts w:hint="eastAsia" w:ascii="宋体" w:hAnsi="宋体"/>
          <w:bCs/>
          <w:color w:val="auto"/>
          <w:sz w:val="24"/>
          <w:u w:val="single"/>
        </w:rPr>
      </w:pPr>
      <w:r>
        <w:rPr>
          <w:rFonts w:hint="eastAsia" w:ascii="宋体" w:hAnsi="宋体"/>
          <w:color w:val="auto"/>
          <w:sz w:val="24"/>
        </w:rPr>
        <w:t>6、乙方负责运送货物，货物在甲方签字接收前产生的一切风险，由乙方承担。</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7、</w:t>
      </w:r>
      <w:r>
        <w:rPr>
          <w:rFonts w:hint="eastAsia" w:ascii="宋体" w:hAnsi="宋体"/>
          <w:bCs/>
          <w:color w:val="auto"/>
          <w:sz w:val="24"/>
        </w:rPr>
        <w:t>乙方应遵守当地政府、建设单位、甲方有关现场的通道、保安、通行证的发放以及同类项目的一切法律及规定；并应遵守可能由当地政府颁发的有关物料运送现场的时限及通道的限制规定。同时，乙方不得以不清楚工地现场的情况为借口而要求延长交货期限。</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8、</w:t>
      </w:r>
      <w:r>
        <w:rPr>
          <w:rFonts w:hint="eastAsia" w:ascii="宋体" w:hAnsi="宋体"/>
          <w:bCs/>
          <w:color w:val="auto"/>
          <w:sz w:val="24"/>
        </w:rPr>
        <w:t>乙方供应物资应根据工程进展情况需要使用前预计足够时间（必须符合甲方的要求）运抵现场。</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9、乙方必须配合工程需用物资计划，物资计划会在工程进行中不断修订，乙方仍须在修订后的计划时间内，及时供应符合合同质量要求的物资。</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10、乙方不得将甲方所制定的物资需用计划的更改作为要求索赔的理由。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11、乙方必须按甲方随时发出的通知要求的日期进行交货，若未按甲方规定时间交货，乙方将负责因此造成的损失,且甲方有权核减乙方供应量直至终止与乙方的合同。</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12、乙方必须对自身出入甲方现场的人员进行安全交底，并应自带安全防护用品，因乙方原因造成的各种人员伤害及经济损失由乙方自行承担，并补偿甲方及其它造成的一切损失。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13、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adjustRightInd w:val="0"/>
        <w:snapToGrid w:val="0"/>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rPr>
        <w:t>第四条 货款的结算及支付方式：</w:t>
      </w:r>
      <w:r>
        <w:rPr>
          <w:rFonts w:hint="eastAsia" w:ascii="宋体" w:hAnsi="宋体"/>
          <w:color w:val="auto"/>
          <w:sz w:val="24"/>
          <w:lang w:val="en-US" w:eastAsia="zh-CN"/>
        </w:rPr>
        <w:t xml:space="preserve">无预付款，供货当月月结供货量的80%、剩余全部供货结束后一个月内付清结算款项 。  </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第五条 物资验收</w:t>
      </w:r>
      <w:bookmarkStart w:id="0" w:name="_GoBack"/>
      <w:bookmarkEnd w:id="0"/>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1、甲方有权利对进场的物资进行各种形式的检验，乙方必须充分配合并接受检查结果。</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2、乙方必须在交货前对材料的品质、规格等作细致的检验，材料到工地现场卸车后，如发现其技术规格、性能与合同或甲方发出的供货单上的规格不符，质量低劣及受损坏等情况，应按以下情况分别处理：</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1）材料的种类、规格、质量登记与要求不符，甲方可拒绝接收，乙方接到通知后24小时内完成，自费运出施工现场并重新采购供货，如因此造成延期交货的，按本合同有关条款承担违约责任。</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2）因时间晚于甲方通知乙方的计划进货日期的，乙方须承担因此造成的甲方延误工期损失及其他因此可能发生的损失。</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bCs/>
          <w:color w:val="auto"/>
          <w:sz w:val="24"/>
        </w:rPr>
        <w:t>3）经甲方检验通过之后发现材料的规格、质量等级与要求不符的清况，乙方仍应承担重新采购供货的经济支出及对因此造成的甲方及工程损失负责赔偿。</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3、乙方负责提供给甲方所需物资的质量保证书、合格证，乙方所提供的验证资料必须齐全、真实、有效，随货同行。并由甲方指定负责验收人在送货单上签字并加盖项目印章作为收货依据及结算依据。</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第六条 违约责任</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1、乙方不能按时交货的，应向甲方偿付不能交货部分货款总值的</w:t>
      </w:r>
      <w:r>
        <w:rPr>
          <w:rFonts w:ascii="宋体" w:hAnsi="宋体"/>
          <w:bCs/>
          <w:color w:val="auto"/>
          <w:sz w:val="24"/>
          <w:u w:val="single"/>
        </w:rPr>
        <w:t>20</w:t>
      </w:r>
      <w:r>
        <w:rPr>
          <w:rFonts w:hint="eastAsia" w:ascii="宋体" w:hAnsi="宋体"/>
          <w:bCs/>
          <w:color w:val="auto"/>
          <w:sz w:val="24"/>
        </w:rPr>
        <w:t>%的违约金及因此造成的甲方的一切损失。</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乙方所交物资的品种、型号、规格不符合合同规定及甲方另行给乙方的通知的，如果甲方同意利用，应当按质论价；如果甲方不能利用的，乙方应负责按甲方要求的时间予以退换，并承担由此造成甲方费用增加、工期延误等损失；如乙方未在规定的时间内提供符合合同要求的货物，甲方有权找第三方购买该货物，若由于购买第三方货物，导致费用或成本增加的，该增加部分由乙方承担。</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3、对于因乙方运输方式不合理造成货物到达指定地点之后货物的损失或丢失，乙方应承担全部责任。</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bCs/>
          <w:color w:val="auto"/>
          <w:sz w:val="24"/>
        </w:rPr>
        <w:t>4、乙方对甲方造成的经济损失，甲方有权从乙方的余款中扣除，余款不足抵补损失时，应由乙方补齐差额部分。</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5、乙方装卸、运输过程中的一切人员、机械、车辆安全，乙方应按国家及地方规定办理相关手续、责任自负。</w:t>
      </w:r>
    </w:p>
    <w:p>
      <w:pPr>
        <w:adjustRightInd w:val="0"/>
        <w:snapToGrid w:val="0"/>
        <w:spacing w:line="360" w:lineRule="auto"/>
        <w:ind w:firstLine="480" w:firstLineChars="200"/>
        <w:jc w:val="left"/>
        <w:rPr>
          <w:rFonts w:hint="eastAsia" w:ascii="宋体" w:hAnsi="宋体"/>
          <w:color w:val="auto"/>
          <w:sz w:val="24"/>
        </w:rPr>
      </w:pPr>
      <w:r>
        <w:rPr>
          <w:rFonts w:hint="eastAsia" w:ascii="宋体" w:hAnsi="宋体"/>
          <w:color w:val="auto"/>
          <w:sz w:val="24"/>
        </w:rPr>
        <w:t>6、乙方装卸、运输中应做相应的环保措施，应符合国家环保要求，因环保造成的一切罚款由乙方自行承担。</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 xml:space="preserve">第七条 </w:t>
      </w:r>
      <w:r>
        <w:rPr>
          <w:rFonts w:hint="eastAsia" w:ascii="宋体" w:hAnsi="宋体"/>
          <w:bCs/>
          <w:color w:val="auto"/>
          <w:sz w:val="24"/>
        </w:rPr>
        <w:t>争议解决</w:t>
      </w:r>
    </w:p>
    <w:p>
      <w:pPr>
        <w:adjustRightInd w:val="0"/>
        <w:snapToGrid w:val="0"/>
        <w:spacing w:line="360" w:lineRule="auto"/>
        <w:ind w:firstLine="480" w:firstLineChars="200"/>
        <w:jc w:val="left"/>
        <w:rPr>
          <w:rFonts w:hint="eastAsia" w:ascii="宋体" w:hAnsi="宋体" w:cs="Tahoma"/>
          <w:color w:val="auto"/>
          <w:kern w:val="0"/>
          <w:sz w:val="24"/>
        </w:rPr>
      </w:pPr>
      <w:r>
        <w:rPr>
          <w:rFonts w:hint="eastAsia" w:ascii="宋体" w:hAnsi="宋体"/>
          <w:bCs/>
          <w:color w:val="auto"/>
          <w:sz w:val="24"/>
        </w:rPr>
        <w:t>发生争议后，双方首先协商解决，不能协商解决时，提交</w:t>
      </w:r>
      <w:r>
        <w:rPr>
          <w:rFonts w:hint="eastAsia" w:ascii="宋体" w:hAnsi="宋体"/>
          <w:color w:val="auto"/>
          <w:sz w:val="24"/>
        </w:rPr>
        <w:t>甲方所在地人民法院解决。</w:t>
      </w:r>
      <w:r>
        <w:rPr>
          <w:rFonts w:hint="eastAsia" w:ascii="宋体" w:hAnsi="宋体"/>
          <w:color w:val="auto"/>
          <w:kern w:val="0"/>
          <w:sz w:val="24"/>
        </w:rPr>
        <w:t>本合同关于争议的解决方式的约定具有最高效力，双方以后发生的补充合同、会议纪要、往来函件、发料单、结算单等涉及到争议解决方式的，均不得对抗此约定。</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color w:val="auto"/>
          <w:sz w:val="24"/>
        </w:rPr>
        <w:t xml:space="preserve">第八条 </w:t>
      </w:r>
      <w:r>
        <w:rPr>
          <w:rFonts w:hint="eastAsia" w:ascii="宋体" w:hAnsi="宋体"/>
          <w:bCs/>
          <w:color w:val="auto"/>
          <w:sz w:val="24"/>
        </w:rPr>
        <w:t>合同效力及份数</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1、本合同自双方签字盖章之日起生效，至合同约定内容全部履行完毕自动失效。</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2、 本合同一式</w:t>
      </w:r>
      <w:r>
        <w:rPr>
          <w:rFonts w:hint="eastAsia" w:ascii="宋体" w:hAnsi="宋体"/>
          <w:bCs/>
          <w:color w:val="auto"/>
          <w:sz w:val="24"/>
          <w:u w:val="single"/>
        </w:rPr>
        <w:t>肆</w:t>
      </w:r>
      <w:r>
        <w:rPr>
          <w:rFonts w:hint="eastAsia" w:ascii="宋体" w:hAnsi="宋体"/>
          <w:bCs/>
          <w:color w:val="auto"/>
          <w:sz w:val="24"/>
        </w:rPr>
        <w:t>份，具有同等法律效力，甲方执</w:t>
      </w:r>
      <w:r>
        <w:rPr>
          <w:rFonts w:hint="eastAsia" w:ascii="宋体" w:hAnsi="宋体"/>
          <w:bCs/>
          <w:color w:val="auto"/>
          <w:sz w:val="24"/>
          <w:u w:val="single"/>
        </w:rPr>
        <w:t xml:space="preserve"> 贰 </w:t>
      </w:r>
      <w:r>
        <w:rPr>
          <w:rFonts w:hint="eastAsia" w:ascii="宋体" w:hAnsi="宋体"/>
          <w:bCs/>
          <w:color w:val="auto"/>
          <w:sz w:val="24"/>
        </w:rPr>
        <w:t>份，乙方执</w:t>
      </w:r>
      <w:r>
        <w:rPr>
          <w:rFonts w:hint="eastAsia" w:ascii="宋体" w:hAnsi="宋体"/>
          <w:bCs/>
          <w:color w:val="auto"/>
          <w:sz w:val="24"/>
          <w:u w:val="single"/>
        </w:rPr>
        <w:t xml:space="preserve"> 贰 </w:t>
      </w:r>
      <w:r>
        <w:rPr>
          <w:rFonts w:hint="eastAsia" w:ascii="宋体" w:hAnsi="宋体"/>
          <w:bCs/>
          <w:color w:val="auto"/>
          <w:sz w:val="24"/>
        </w:rPr>
        <w:t>份，</w:t>
      </w:r>
      <w:r>
        <w:rPr>
          <w:rFonts w:hint="eastAsia" w:ascii="宋体" w:hAnsi="宋体"/>
          <w:color w:val="auto"/>
          <w:sz w:val="24"/>
        </w:rPr>
        <w:t>本合同双方签字盖章后生效。</w:t>
      </w:r>
    </w:p>
    <w:p>
      <w:pPr>
        <w:adjustRightInd w:val="0"/>
        <w:snapToGrid w:val="0"/>
        <w:spacing w:line="360" w:lineRule="auto"/>
        <w:ind w:firstLine="480" w:firstLineChars="200"/>
        <w:jc w:val="left"/>
        <w:rPr>
          <w:rFonts w:hint="eastAsia" w:ascii="宋体" w:hAnsi="宋体"/>
          <w:bCs/>
          <w:color w:val="auto"/>
          <w:sz w:val="24"/>
        </w:rPr>
      </w:pPr>
      <w:r>
        <w:rPr>
          <w:rFonts w:hint="eastAsia" w:ascii="宋体" w:hAnsi="宋体"/>
          <w:bCs/>
          <w:color w:val="auto"/>
          <w:sz w:val="24"/>
        </w:rPr>
        <w:t>3、 本合同未尽事宜，由甲乙双方另行协商。</w:t>
      </w:r>
    </w:p>
    <w:p>
      <w:pPr>
        <w:adjustRightInd w:val="0"/>
        <w:snapToGrid w:val="0"/>
        <w:spacing w:line="360" w:lineRule="auto"/>
        <w:ind w:firstLine="560"/>
        <w:jc w:val="left"/>
        <w:rPr>
          <w:rFonts w:hint="eastAsia" w:ascii="宋体" w:hAnsi="宋体" w:eastAsia="宋体"/>
          <w:bCs/>
          <w:color w:val="auto"/>
          <w:sz w:val="24"/>
          <w:lang w:eastAsia="zh-CN"/>
        </w:rPr>
      </w:pPr>
      <w:r>
        <w:rPr>
          <w:rFonts w:hint="eastAsia" w:ascii="宋体" w:hAnsi="宋体"/>
          <w:bCs/>
          <w:color w:val="auto"/>
          <w:sz w:val="24"/>
          <w:lang w:eastAsia="zh-CN"/>
        </w:rPr>
        <w:t>（</w:t>
      </w:r>
      <w:r>
        <w:rPr>
          <w:rFonts w:hint="eastAsia" w:ascii="宋体" w:hAnsi="宋体"/>
          <w:bCs/>
          <w:color w:val="auto"/>
          <w:sz w:val="24"/>
          <w:lang w:val="en-US" w:eastAsia="zh-CN"/>
        </w:rPr>
        <w:t>以下无正文</w:t>
      </w:r>
      <w:r>
        <w:rPr>
          <w:rFonts w:hint="eastAsia" w:ascii="宋体" w:hAnsi="宋体"/>
          <w:bCs/>
          <w:color w:val="auto"/>
          <w:sz w:val="24"/>
          <w:lang w:eastAsia="zh-CN"/>
        </w:rPr>
        <w:t>）</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甲方（章）                            乙方（章）</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单位地址：                            单位地址 ：</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法定代表人：                          法定代表人：</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签约日期：                            签约日期：</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委托代理人：                          委托代理人：</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电    话：                            电    话：</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开户银行：                            开户银行：</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账    号：                            账    号：</w:t>
      </w:r>
    </w:p>
    <w:p>
      <w:pPr>
        <w:adjustRightInd w:val="0"/>
        <w:snapToGrid w:val="0"/>
        <w:spacing w:line="360" w:lineRule="auto"/>
        <w:ind w:firstLine="480" w:firstLineChars="200"/>
        <w:jc w:val="left"/>
        <w:textAlignment w:val="top"/>
        <w:rPr>
          <w:rFonts w:hint="eastAsia" w:ascii="宋体" w:hAnsi="宋体"/>
          <w:color w:val="auto"/>
          <w:sz w:val="24"/>
        </w:rPr>
      </w:pPr>
      <w:r>
        <w:rPr>
          <w:rFonts w:hint="eastAsia" w:ascii="宋体" w:hAnsi="宋体"/>
          <w:color w:val="auto"/>
          <w:sz w:val="24"/>
        </w:rPr>
        <w:t>邮政编码：                            邮政编码：</w:t>
      </w:r>
    </w:p>
    <w:p>
      <w:pPr>
        <w:adjustRightInd w:val="0"/>
        <w:snapToGrid w:val="0"/>
        <w:spacing w:line="360" w:lineRule="auto"/>
        <w:jc w:val="left"/>
        <w:rPr>
          <w:rFonts w:hint="eastAsia" w:ascii="宋体" w:hAnsi="宋体"/>
          <w:color w:val="auto"/>
          <w:sz w:val="24"/>
        </w:rPr>
      </w:pPr>
    </w:p>
    <w:p>
      <w:pPr>
        <w:rPr>
          <w:rFonts w:hint="default" w:eastAsia="宋体"/>
          <w:b/>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abstractNum w:abstractNumId="1">
    <w:nsid w:val="3392F817"/>
    <w:multiLevelType w:val="singleLevel"/>
    <w:tmpl w:val="3392F817"/>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172A27"/>
    <w:rsid w:val="01067305"/>
    <w:rsid w:val="046248DD"/>
    <w:rsid w:val="04803322"/>
    <w:rsid w:val="09EA794C"/>
    <w:rsid w:val="09FF6E3C"/>
    <w:rsid w:val="0A764C3F"/>
    <w:rsid w:val="0B611E33"/>
    <w:rsid w:val="0F10015F"/>
    <w:rsid w:val="15F07F9B"/>
    <w:rsid w:val="1B8F5B45"/>
    <w:rsid w:val="1BEC1D8C"/>
    <w:rsid w:val="2183277C"/>
    <w:rsid w:val="24156E1F"/>
    <w:rsid w:val="26A613E6"/>
    <w:rsid w:val="2AC60E73"/>
    <w:rsid w:val="2F911A4F"/>
    <w:rsid w:val="31690733"/>
    <w:rsid w:val="35716271"/>
    <w:rsid w:val="37530DAA"/>
    <w:rsid w:val="381B457B"/>
    <w:rsid w:val="3A7C691D"/>
    <w:rsid w:val="45702A83"/>
    <w:rsid w:val="4AC75AD6"/>
    <w:rsid w:val="4D7B7443"/>
    <w:rsid w:val="5180327A"/>
    <w:rsid w:val="5435675A"/>
    <w:rsid w:val="554C6557"/>
    <w:rsid w:val="581662BB"/>
    <w:rsid w:val="5A752734"/>
    <w:rsid w:val="5B55535F"/>
    <w:rsid w:val="612E61C1"/>
    <w:rsid w:val="66DD1AC8"/>
    <w:rsid w:val="71447041"/>
    <w:rsid w:val="716A6C53"/>
    <w:rsid w:val="77B270DB"/>
    <w:rsid w:val="7C4D4D5B"/>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3">
    <w:name w:val="Body Text Indent 2"/>
    <w:basedOn w:val="1"/>
    <w:autoRedefine/>
    <w:qFormat/>
    <w:uiPriority w:val="0"/>
    <w:pPr>
      <w:spacing w:after="120" w:line="480" w:lineRule="auto"/>
      <w:ind w:left="420" w:firstLine="539"/>
    </w:pPr>
    <w:rPr>
      <w:rFonts w:ascii="Times New Roman" w:hAnsi="Times New Roman"/>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toc 2"/>
    <w:basedOn w:val="1"/>
    <w:next w:val="1"/>
    <w:autoRedefine/>
    <w:qFormat/>
    <w:uiPriority w:val="39"/>
    <w:pPr>
      <w:ind w:left="420" w:leftChars="200"/>
    </w:p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w:basedOn w:val="2"/>
    <w:autoRedefine/>
    <w:unhideWhenUsed/>
    <w:qFormat/>
    <w:uiPriority w:val="99"/>
    <w:pPr>
      <w:ind w:firstLine="420" w:firstLineChars="100"/>
    </w:pPr>
    <w:rPr>
      <w:rFonts w:ascii="Calibri" w:hAnsi="Calibri" w:eastAsia="宋体" w:cs="Times New Roman"/>
      <w:szCs w:val="22"/>
    </w:rPr>
  </w:style>
  <w:style w:type="paragraph" w:styleId="10">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1">
    <w:name w:val="font91"/>
    <w:basedOn w:val="9"/>
    <w:autoRedefine/>
    <w:qFormat/>
    <w:uiPriority w:val="0"/>
    <w:rPr>
      <w:rFonts w:hint="eastAsia" w:ascii="宋体" w:hAnsi="宋体" w:eastAsia="宋体" w:cs="宋体"/>
      <w:color w:val="000000"/>
      <w:sz w:val="20"/>
      <w:szCs w:val="20"/>
      <w:u w:val="none"/>
    </w:rPr>
  </w:style>
  <w:style w:type="character" w:customStyle="1" w:styleId="12">
    <w:name w:val="font31"/>
    <w:basedOn w:val="9"/>
    <w:autoRedefine/>
    <w:qFormat/>
    <w:uiPriority w:val="0"/>
    <w:rPr>
      <w:rFonts w:hint="eastAsia" w:ascii="宋体" w:hAnsi="宋体" w:eastAsia="宋体" w:cs="宋体"/>
      <w:color w:val="000000"/>
      <w:sz w:val="20"/>
      <w:szCs w:val="20"/>
      <w:u w:val="none"/>
    </w:rPr>
  </w:style>
  <w:style w:type="character" w:customStyle="1" w:styleId="13">
    <w:name w:val="font61"/>
    <w:basedOn w:val="9"/>
    <w:autoRedefine/>
    <w:qFormat/>
    <w:uiPriority w:val="0"/>
    <w:rPr>
      <w:rFonts w:hint="eastAsia" w:ascii="宋体" w:hAnsi="宋体" w:eastAsia="宋体" w:cs="宋体"/>
      <w:color w:val="000000"/>
      <w:sz w:val="20"/>
      <w:szCs w:val="20"/>
      <w:u w:val="none"/>
    </w:rPr>
  </w:style>
  <w:style w:type="character" w:customStyle="1" w:styleId="14">
    <w:name w:val="font21"/>
    <w:basedOn w:val="9"/>
    <w:autoRedefine/>
    <w:qFormat/>
    <w:uiPriority w:val="0"/>
    <w:rPr>
      <w:rFonts w:hint="eastAsia" w:ascii="宋体" w:hAnsi="宋体" w:eastAsia="宋体" w:cs="宋体"/>
      <w:color w:val="000000"/>
      <w:sz w:val="20"/>
      <w:szCs w:val="20"/>
      <w:u w:val="none"/>
    </w:rPr>
  </w:style>
  <w:style w:type="character" w:customStyle="1" w:styleId="15">
    <w:name w:val="font51"/>
    <w:basedOn w:val="9"/>
    <w:autoRedefine/>
    <w:qFormat/>
    <w:uiPriority w:val="0"/>
    <w:rPr>
      <w:rFonts w:hint="eastAsia" w:ascii="宋体" w:hAnsi="宋体" w:eastAsia="宋体" w:cs="宋体"/>
      <w:color w:val="000000"/>
      <w:sz w:val="20"/>
      <w:szCs w:val="20"/>
      <w:u w:val="none"/>
    </w:rPr>
  </w:style>
  <w:style w:type="character" w:customStyle="1" w:styleId="16">
    <w:name w:val="font41"/>
    <w:basedOn w:val="9"/>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5501</Words>
  <Characters>5639</Characters>
  <Lines>0</Lines>
  <Paragraphs>0</Paragraphs>
  <TotalTime>1</TotalTime>
  <ScaleCrop>false</ScaleCrop>
  <LinksUpToDate>false</LinksUpToDate>
  <CharactersWithSpaces>6710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牛奶</cp:lastModifiedBy>
  <cp:lastPrinted>2024-02-27T01:13:00Z</cp:lastPrinted>
  <dcterms:modified xsi:type="dcterms:W3CDTF">2024-05-14T08:27:20Z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A860C69A8FF6400E9CCF7BC6F1F68331_13</vt:lpwstr>
  </property>
</Properties>
</file>