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徐州市铜山区铜山街道猴山废弃矿山地质环境治工程劳务分包比选</w:t>
      </w:r>
      <w:r>
        <w:rPr>
          <w:rFonts w:hint="eastAsia" w:ascii="方正小标宋简体" w:hAnsi="方正小标宋简体" w:eastAsia="方正小标宋简体" w:cs="方正小标宋简体"/>
          <w:bCs/>
          <w:sz w:val="36"/>
          <w:szCs w:val="36"/>
        </w:rPr>
        <w:t>采购</w:t>
      </w:r>
      <w:r>
        <w:rPr>
          <w:rFonts w:hint="eastAsia" w:ascii="方正小标宋简体" w:hAnsi="方正小标宋简体" w:eastAsia="方正小标宋简体" w:cs="方正小标宋简体"/>
          <w:bCs/>
          <w:sz w:val="36"/>
          <w:szCs w:val="36"/>
          <w:lang w:val="en-US" w:eastAsia="zh-CN"/>
        </w:rPr>
        <w:t>文件</w:t>
      </w:r>
    </w:p>
    <w:p>
      <w:pPr>
        <w:tabs>
          <w:tab w:val="left" w:pos="1060"/>
          <w:tab w:val="left" w:pos="3360"/>
        </w:tabs>
        <w:adjustRightInd w:val="0"/>
        <w:snapToGrid w:val="0"/>
        <w:spacing w:line="360" w:lineRule="auto"/>
        <w:ind w:firstLine="640" w:firstLineChars="20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我公司拟进行徐州市铜山区铜山街道猴山废弃矿山地质环境治工程工劳务分包比选采购，采购编号：ZMCJ-JC-2024-25</w:t>
      </w:r>
    </w:p>
    <w:p>
      <w:pPr>
        <w:tabs>
          <w:tab w:val="left" w:pos="1060"/>
          <w:tab w:val="left" w:pos="3360"/>
        </w:tabs>
        <w:adjustRightInd w:val="0"/>
        <w:snapToGrid w:val="0"/>
        <w:spacing w:line="360" w:lineRule="auto"/>
        <w:ind w:firstLine="643" w:firstLineChars="200"/>
        <w:jc w:val="left"/>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left="958" w:leftChars="304" w:hanging="320" w:hangingChars="1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1.项目名称：徐州市铜山区铜山街道猴山废弃矿山地质环境治工程</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2.采购需求：劳务分包</w:t>
      </w:r>
    </w:p>
    <w:p>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3.工期:30天</w:t>
      </w:r>
      <w:bookmarkStart w:id="0" w:name="_GoBack"/>
      <w:bookmarkEnd w:id="0"/>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4.项目地点：江苏省徐州市</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5.评标办法:最低价评标法</w:t>
      </w:r>
    </w:p>
    <w:p>
      <w:pPr>
        <w:pStyle w:val="6"/>
        <w:widowControl/>
        <w:shd w:val="clear" w:color="auto" w:fill="FFFFFF"/>
        <w:spacing w:before="10" w:beforeAutospacing="0" w:after="10" w:afterAutospacing="0" w:line="560" w:lineRule="exact"/>
        <w:ind w:left="958" w:leftChars="304" w:right="10" w:hanging="320" w:hangingChars="1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6.最高报价限价：壹拾陆万贰仟元整（人民</w:t>
      </w:r>
    </w:p>
    <w:p>
      <w:pPr>
        <w:pStyle w:val="6"/>
        <w:widowControl/>
        <w:shd w:val="clear" w:color="auto" w:fill="FFFFFF"/>
        <w:spacing w:before="10" w:beforeAutospacing="0" w:after="10" w:afterAutospacing="0" w:line="560" w:lineRule="exact"/>
        <w:ind w:right="10" w:firstLine="960" w:firstLineChars="3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币:162000.00元），税率3％。</w:t>
      </w:r>
    </w:p>
    <w:p>
      <w:pPr>
        <w:numPr>
          <w:ilvl w:val="0"/>
          <w:numId w:val="1"/>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（一）具有相应经营范围的独立法人单位，有合格有效的营业执照，必须具有劳务资质，安全生产许可，并在人员、资金等方面具有相应的实力。</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次采购不接受联合体报价。具有投资参股关系的关联企业，或具有直接管理或被管理关系的母子公司，或同一母公司的子公司，或法定代表人为同一人的两个及两个以上法人不得同时对同一项目进行投标。</w:t>
      </w:r>
    </w:p>
    <w:p>
      <w:pPr>
        <w:numPr>
          <w:ilvl w:val="0"/>
          <w:numId w:val="0"/>
        </w:numPr>
        <w:spacing w:line="560" w:lineRule="exact"/>
        <w:ind w:left="630" w:leftChars="0"/>
        <w:rPr>
          <w:rFonts w:hint="eastAsia" w:ascii="黑体" w:hAnsi="黑体" w:eastAsia="黑体" w:cs="黑体"/>
          <w:kern w:val="0"/>
          <w:sz w:val="32"/>
          <w:szCs w:val="32"/>
        </w:rPr>
      </w:pPr>
      <w:r>
        <w:rPr>
          <w:rFonts w:hint="eastAsia" w:ascii="黑体" w:hAnsi="黑体" w:eastAsia="黑体" w:cs="黑体"/>
          <w:kern w:val="0"/>
          <w:sz w:val="32"/>
          <w:szCs w:val="32"/>
        </w:rPr>
        <w:t>三、报名方式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b/>
          <w:bCs/>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四、投标人需提供以下材料 </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1、营业执照副本、资质证书等复印件（在集团公司供应商库无需提供）；</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2"/>
        <w:spacing w:before="55"/>
        <w:ind w:left="990" w:leftChars="310" w:right="387" w:hanging="339" w:hangingChars="106"/>
        <w:jc w:val="both"/>
        <w:rPr>
          <w:rFonts w:hint="eastAsia" w:ascii="仿宋_GB2312" w:hAnsi="宋体" w:eastAsia="仿宋_GB2312" w:cs="宋体"/>
          <w:sz w:val="32"/>
          <w:szCs w:val="32"/>
        </w:rPr>
      </w:pPr>
      <w:r>
        <w:rPr>
          <w:rFonts w:hint="eastAsia" w:ascii="仿宋_GB2312" w:hAnsi="宋体" w:eastAsia="仿宋_GB2312" w:cs="宋体"/>
          <w:b w:val="0"/>
          <w:bCs w:val="0"/>
          <w:kern w:val="0"/>
          <w:sz w:val="32"/>
          <w:szCs w:val="32"/>
          <w:lang w:val="en-US" w:eastAsia="zh-CN" w:bidi="ar"/>
        </w:rPr>
        <w:t>4、信用报告</w:t>
      </w:r>
      <w:r>
        <w:rPr>
          <w:rFonts w:hint="eastAsia" w:ascii="仿宋_GB2312" w:eastAsia="仿宋_GB2312" w:cs="宋体"/>
          <w:b w:val="0"/>
          <w:bCs w:val="0"/>
          <w:kern w:val="0"/>
          <w:sz w:val="32"/>
          <w:szCs w:val="32"/>
          <w:lang w:val="en-US" w:eastAsia="zh-CN" w:bidi="ar"/>
        </w:rPr>
        <w:t>；</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b w:val="0"/>
          <w:bCs w:val="0"/>
          <w:snapToGrid w:val="0"/>
          <w:color w:val="000000"/>
          <w:kern w:val="0"/>
          <w:sz w:val="32"/>
          <w:szCs w:val="32"/>
          <w:lang w:val="en-US" w:eastAsia="zh-CN" w:bidi="ar"/>
        </w:rPr>
      </w:pPr>
      <w:r>
        <w:rPr>
          <w:rFonts w:hint="eastAsia" w:ascii="仿宋_GB2312" w:hAnsi="宋体" w:eastAsia="仿宋_GB2312" w:cs="宋体"/>
          <w:sz w:val="32"/>
          <w:szCs w:val="32"/>
        </w:rPr>
        <w:t>注：上述材料必须加盖单位公章。</w:t>
      </w:r>
    </w:p>
    <w:p>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、联系方式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联系人： </w:t>
      </w:r>
      <w:r>
        <w:rPr>
          <w:rFonts w:hint="eastAsia" w:ascii="仿宋_GB2312" w:hAnsi="宋体" w:eastAsia="仿宋_GB2312" w:cs="宋体"/>
          <w:kern w:val="0"/>
          <w:sz w:val="32"/>
          <w:szCs w:val="32"/>
          <w:lang w:val="en-US" w:eastAsia="zh-CN"/>
        </w:rPr>
        <w:t>朱工</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p>
    <w:p>
      <w:pPr>
        <w:pStyle w:val="6"/>
        <w:widowControl/>
        <w:shd w:val="clear" w:color="auto" w:fill="FFFFFF"/>
        <w:spacing w:before="10" w:beforeAutospacing="0" w:after="10" w:afterAutospacing="0" w:line="560" w:lineRule="exact"/>
        <w:ind w:left="10" w:right="10" w:firstLine="430"/>
        <w:jc w:val="right"/>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6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 xml:space="preserve">日  </w:t>
      </w:r>
    </w:p>
    <w:p>
      <w:pPr>
        <w:pStyle w:val="6"/>
        <w:widowControl/>
        <w:shd w:val="clear" w:color="auto" w:fill="FFFFFF"/>
        <w:spacing w:before="10" w:beforeAutospacing="0" w:after="10" w:afterAutospacing="0" w:line="560" w:lineRule="exact"/>
        <w:ind w:left="10" w:right="10" w:firstLine="430"/>
        <w:jc w:val="right"/>
      </w:pPr>
      <w:r>
        <w:rPr>
          <w:rFonts w:hint="eastAsia" w:ascii="仿宋_GB2312" w:hAnsi="宋体" w:eastAsia="仿宋_GB2312" w:cs="宋体"/>
          <w:sz w:val="32"/>
          <w:szCs w:val="32"/>
        </w:rPr>
        <w:t xml:space="preserve">  </w:t>
      </w:r>
    </w:p>
    <w:p>
      <w:pPr>
        <w:spacing w:line="660" w:lineRule="exact"/>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 xml:space="preserve">   徐州市铜山区铜山街道猴山废弃  矿山地质环境治工程劳务分包比选</w:t>
      </w:r>
      <w:r>
        <w:rPr>
          <w:rFonts w:hint="eastAsia" w:ascii="仿宋" w:hAnsi="仿宋" w:eastAsia="仿宋" w:cs="仿宋"/>
          <w:b/>
          <w:bCs/>
          <w:sz w:val="48"/>
          <w:szCs w:val="48"/>
          <w:lang w:eastAsia="zh-CN"/>
        </w:rPr>
        <w:t>采购</w:t>
      </w:r>
      <w:r>
        <w:rPr>
          <w:rFonts w:hint="eastAsia" w:ascii="仿宋" w:hAnsi="仿宋" w:eastAsia="仿宋" w:cs="仿宋"/>
          <w:b/>
          <w:bCs/>
          <w:sz w:val="48"/>
          <w:szCs w:val="48"/>
          <w:lang w:val="en-US" w:eastAsia="zh-CN"/>
        </w:rPr>
        <w:t>响应文件</w:t>
      </w:r>
    </w:p>
    <w:p>
      <w:pPr>
        <w:pStyle w:val="5"/>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ZMCJ-JC-2024-25</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劳务分包采购</w:t>
      </w:r>
      <w:r>
        <w:rPr>
          <w:rFonts w:hint="eastAsia" w:ascii="仿宋" w:hAnsi="仿宋" w:eastAsia="仿宋" w:cs="仿宋"/>
          <w:b/>
          <w:bCs/>
          <w:sz w:val="52"/>
          <w:szCs w:val="52"/>
        </w:rPr>
        <w:t>报价单</w:t>
      </w:r>
    </w:p>
    <w:p>
      <w:pPr>
        <w:pStyle w:val="6"/>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spacing w:line="660" w:lineRule="exact"/>
        <w:jc w:val="center"/>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徐州市铜山区铜山街道猴山废弃矿山地质环境</w:t>
      </w:r>
    </w:p>
    <w:p>
      <w:pPr>
        <w:spacing w:line="660" w:lineRule="exact"/>
        <w:ind w:firstLine="1920" w:firstLineChars="600"/>
        <w:jc w:val="both"/>
        <w:rPr>
          <w:rFonts w:hint="eastAsia" w:ascii="方正小标宋简体" w:hAnsi="方正小标宋简体" w:eastAsia="方正小标宋简体" w:cs="方正小标宋简体"/>
          <w:bCs/>
          <w:sz w:val="36"/>
          <w:szCs w:val="36"/>
          <w:lang w:val="en-US" w:eastAsia="zh-CN"/>
        </w:rPr>
      </w:pPr>
      <w:r>
        <w:rPr>
          <w:rFonts w:hint="eastAsia" w:ascii="仿宋_GB2312" w:hAnsi="仿宋_GB2312" w:eastAsia="仿宋_GB2312" w:cs="仿宋_GB2312"/>
          <w:color w:val="auto"/>
          <w:kern w:val="0"/>
          <w:sz w:val="32"/>
          <w:szCs w:val="32"/>
          <w:lang w:val="en-US" w:eastAsia="zh-CN" w:bidi="ar-SA"/>
        </w:rPr>
        <w:t>治理工程劳务分</w:t>
      </w:r>
    </w:p>
    <w:p>
      <w:pPr>
        <w:spacing w:line="660" w:lineRule="exact"/>
        <w:jc w:val="both"/>
        <w:rPr>
          <w:rFonts w:hint="default" w:ascii="仿宋" w:hAnsi="仿宋" w:eastAsia="仿宋" w:cs="仿宋"/>
          <w:sz w:val="32"/>
          <w:szCs w:val="32"/>
          <w:lang w:val="en-US"/>
        </w:rPr>
      </w:pPr>
      <w:r>
        <w:rPr>
          <w:rFonts w:hint="eastAsia" w:ascii="方正小标宋简体" w:hAnsi="方正小标宋简体" w:eastAsia="方正小标宋简体" w:cs="方正小标宋简体"/>
          <w:bCs/>
          <w:sz w:val="36"/>
          <w:szCs w:val="36"/>
          <w:lang w:val="en-US" w:eastAsia="zh-CN"/>
        </w:rPr>
        <w:tab/>
      </w: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江苏省徐州市</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1192"/>
        <w:gridCol w:w="880"/>
        <w:gridCol w:w="1520"/>
        <w:gridCol w:w="16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劳务分包内容</w:t>
            </w:r>
          </w:p>
        </w:tc>
        <w:tc>
          <w:tcPr>
            <w:tcW w:w="119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暂定工程量</w:t>
            </w:r>
          </w:p>
        </w:tc>
        <w:tc>
          <w:tcPr>
            <w:tcW w:w="88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单位</w:t>
            </w: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64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价(元)</w:t>
            </w:r>
          </w:p>
        </w:tc>
        <w:tc>
          <w:tcPr>
            <w:tcW w:w="110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highlight w:val="none"/>
                <w:lang w:val="en-US" w:eastAsia="zh-CN" w:bidi="ar-SA"/>
              </w:rPr>
            </w:pPr>
            <w:r>
              <w:rPr>
                <w:rFonts w:hint="eastAsia" w:ascii="宋体" w:hAnsi="宋体" w:eastAsia="宋体" w:cs="黑体"/>
                <w:snapToGrid w:val="0"/>
                <w:color w:val="000000"/>
                <w:kern w:val="2"/>
                <w:sz w:val="21"/>
                <w:szCs w:val="21"/>
                <w:lang w:val="en-US" w:eastAsia="zh-CN" w:bidi="ar-SA"/>
              </w:rPr>
              <w:t>边坡截水沟</w:t>
            </w:r>
          </w:p>
        </w:tc>
        <w:tc>
          <w:tcPr>
            <w:tcW w:w="11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highlight w:val="none"/>
                <w:lang w:val="en-US" w:eastAsia="zh-CN" w:bidi="ar-SA"/>
              </w:rPr>
            </w:pPr>
            <w:r>
              <w:rPr>
                <w:rFonts w:hint="eastAsia" w:ascii="宋体" w:hAnsi="宋体" w:eastAsia="宋体" w:cs="宋体"/>
                <w:i w:val="0"/>
                <w:iCs w:val="0"/>
                <w:snapToGrid w:val="0"/>
                <w:color w:val="000000"/>
                <w:kern w:val="0"/>
                <w:sz w:val="21"/>
                <w:szCs w:val="21"/>
                <w:u w:val="none"/>
                <w:lang w:val="en-US" w:eastAsia="zh-CN" w:bidi="ar"/>
              </w:rPr>
              <w:t>m³</w:t>
            </w:r>
          </w:p>
        </w:tc>
        <w:tc>
          <w:tcPr>
            <w:tcW w:w="88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highlight w:val="none"/>
                <w:lang w:val="en-US" w:eastAsia="zh-CN" w:bidi="ar-SA"/>
              </w:rPr>
            </w:pPr>
            <w:r>
              <w:rPr>
                <w:rFonts w:hint="eastAsia" w:ascii="宋体" w:hAnsi="宋体" w:eastAsia="宋体" w:cs="黑体"/>
                <w:snapToGrid w:val="0"/>
                <w:color w:val="000000"/>
                <w:kern w:val="2"/>
                <w:sz w:val="21"/>
                <w:szCs w:val="21"/>
                <w:highlight w:val="none"/>
                <w:lang w:val="en-US" w:eastAsia="zh-CN" w:bidi="ar-SA"/>
              </w:rPr>
              <w:t>90</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highlight w:val="none"/>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highlight w:val="none"/>
              </w:rPr>
            </w:pPr>
          </w:p>
        </w:tc>
        <w:tc>
          <w:tcPr>
            <w:tcW w:w="11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highlight w:val="none"/>
                <w:lang w:val="en-US" w:eastAsia="zh-CN" w:bidi="ar-SA"/>
              </w:rPr>
            </w:pPr>
            <w:r>
              <w:rPr>
                <w:rFonts w:hint="eastAsia" w:ascii="宋体" w:hAnsi="宋体" w:eastAsia="宋体" w:cs="黑体"/>
                <w:snapToGrid w:val="0"/>
                <w:color w:val="000000"/>
                <w:kern w:val="2"/>
                <w:sz w:val="15"/>
                <w:szCs w:val="15"/>
                <w:highlight w:val="none"/>
                <w:lang w:val="en-US" w:eastAsia="zh-CN" w:bidi="ar-SA"/>
              </w:rPr>
              <w:t>墙宽0.35m、高1m、长257m、植筋入岩0.5m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p>
        </w:tc>
        <w:tc>
          <w:tcPr>
            <w:tcW w:w="11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lang w:val="en-US" w:eastAsia="en-US" w:bidi="ar-SA"/>
              </w:rPr>
            </w:pPr>
          </w:p>
        </w:tc>
        <w:tc>
          <w:tcPr>
            <w:tcW w:w="88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p>
        </w:tc>
        <w:tc>
          <w:tcPr>
            <w:tcW w:w="119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lang w:val="en-US" w:eastAsia="en-US" w:bidi="ar-SA"/>
              </w:rPr>
            </w:pPr>
          </w:p>
        </w:tc>
        <w:tc>
          <w:tcPr>
            <w:tcW w:w="88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合计</w:t>
            </w:r>
          </w:p>
        </w:tc>
        <w:tc>
          <w:tcPr>
            <w:tcW w:w="119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88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sz w:val="22"/>
                <w:szCs w:val="22"/>
                <w:u w:val="none"/>
                <w:lang w:val="en-US" w:eastAsia="en-US" w:bidi="ar-SA"/>
              </w:rPr>
            </w:pPr>
          </w:p>
        </w:tc>
        <w:tc>
          <w:tcPr>
            <w:tcW w:w="11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2.以上材料报价有效期为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jc w:val="left"/>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无预付款，按月结算，结算完成后付至结算总价95％，剩余尾款待项目结束后一个月内结清。</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rPr>
        <w:t xml:space="preserve">报价日期：  年   月  </w:t>
      </w:r>
      <w:r>
        <w:rPr>
          <w:rFonts w:hint="eastAsia" w:ascii="仿宋" w:hAnsi="仿宋" w:eastAsia="仿宋" w:cs="仿宋"/>
          <w:sz w:val="32"/>
          <w:szCs w:val="32"/>
          <w:lang w:val="en-US" w:eastAsia="zh-CN"/>
        </w:rPr>
        <w:t>日</w:t>
      </w:r>
    </w:p>
    <w:p>
      <w:pPr>
        <w:tabs>
          <w:tab w:val="left" w:pos="1358"/>
        </w:tabs>
        <w:adjustRightInd w:val="0"/>
        <w:snapToGrid w:val="0"/>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tabs>
          <w:tab w:val="left" w:pos="1358"/>
        </w:tabs>
        <w:adjustRightInd w:val="0"/>
        <w:snapToGrid w:val="0"/>
        <w:spacing w:line="360" w:lineRule="auto"/>
        <w:jc w:val="lef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jc w:val="both"/>
        <w:textAlignment w:val="auto"/>
        <w:rPr>
          <w:rFonts w:hint="default" w:ascii="宋体" w:hAnsi="宋体" w:eastAsia="宋体"/>
          <w:color w:val="auto"/>
          <w:sz w:val="32"/>
          <w:szCs w:val="24"/>
          <w:lang w:val="en-US" w:eastAsia="zh-CN"/>
        </w:rPr>
      </w:pPr>
      <w:r>
        <w:rPr>
          <w:rFonts w:hint="eastAsia" w:ascii="宋体" w:hAnsi="宋体"/>
          <w:color w:val="auto"/>
          <w:sz w:val="32"/>
          <w:szCs w:val="24"/>
          <w:lang w:val="en-US" w:eastAsia="zh-CN"/>
        </w:rPr>
        <w:t>附边坡截水沟大样图：</w:t>
      </w:r>
    </w:p>
    <w:p>
      <w:pPr>
        <w:keepNext w:val="0"/>
        <w:keepLines w:val="0"/>
        <w:pageBreakBefore w:val="0"/>
        <w:kinsoku/>
        <w:wordWrap/>
        <w:overflowPunct/>
        <w:topLinePunct w:val="0"/>
        <w:bidi w:val="0"/>
        <w:spacing w:line="336" w:lineRule="auto"/>
        <w:jc w:val="center"/>
        <w:rPr>
          <w:rFonts w:ascii="宋体" w:hAnsi="宋体"/>
          <w:color w:val="FF0000"/>
          <w:sz w:val="24"/>
        </w:rPr>
      </w:pPr>
      <w:r>
        <w:rPr>
          <w:rFonts w:ascii="宋体" w:hAnsi="宋体"/>
          <w:color w:val="FF0000"/>
          <w:sz w:val="24"/>
        </w:rPr>
        <w:drawing>
          <wp:inline distT="0" distB="0" distL="114300" distR="114300">
            <wp:extent cx="4295140" cy="3133725"/>
            <wp:effectExtent l="0" t="0" r="10160" b="3175"/>
            <wp:docPr id="3" name="图片 3" descr="截水沟立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水沟立面"/>
                    <pic:cNvPicPr>
                      <a:picLocks noChangeAspect="1"/>
                    </pic:cNvPicPr>
                  </pic:nvPicPr>
                  <pic:blipFill>
                    <a:blip r:embed="rId4"/>
                    <a:srcRect l="11153" t="54340" r="3592" b="1735"/>
                    <a:stretch>
                      <a:fillRect/>
                    </a:stretch>
                  </pic:blipFill>
                  <pic:spPr>
                    <a:xfrm>
                      <a:off x="0" y="0"/>
                      <a:ext cx="4295140" cy="3133725"/>
                    </a:xfrm>
                    <a:prstGeom prst="rect">
                      <a:avLst/>
                    </a:prstGeom>
                    <a:noFill/>
                    <a:ln>
                      <a:noFill/>
                    </a:ln>
                  </pic:spPr>
                </pic:pic>
              </a:graphicData>
            </a:graphic>
          </wp:inline>
        </w:drawing>
      </w:r>
    </w:p>
    <w:p>
      <w:pPr>
        <w:keepNext w:val="0"/>
        <w:keepLines w:val="0"/>
        <w:pageBreakBefore w:val="0"/>
        <w:kinsoku/>
        <w:wordWrap/>
        <w:overflowPunct/>
        <w:topLinePunct w:val="0"/>
        <w:bidi w:val="0"/>
        <w:spacing w:line="336" w:lineRule="auto"/>
        <w:jc w:val="center"/>
        <w:rPr>
          <w:rFonts w:ascii="宋体" w:hAnsi="宋体"/>
          <w:color w:val="FF0000"/>
          <w:sz w:val="24"/>
        </w:rPr>
      </w:pPr>
      <w:r>
        <w:rPr>
          <w:rFonts w:hint="eastAsia" w:ascii="宋体" w:hAnsi="宋体"/>
          <w:color w:val="auto"/>
          <w:sz w:val="24"/>
          <w:lang w:val="en-US" w:eastAsia="zh-CN"/>
        </w:rPr>
        <w:t xml:space="preserve">图1  </w:t>
      </w:r>
      <w:r>
        <w:rPr>
          <w:rFonts w:hint="eastAsia" w:ascii="宋体" w:hAnsi="宋体"/>
          <w:color w:val="auto"/>
          <w:sz w:val="24"/>
        </w:rPr>
        <w:t>边坡截水沟断面大样图</w:t>
      </w:r>
      <w:r>
        <w:rPr>
          <w:rFonts w:ascii="宋体" w:hAnsi="宋体"/>
          <w:color w:val="FF0000"/>
          <w:sz w:val="24"/>
        </w:rPr>
        <w:drawing>
          <wp:inline distT="0" distB="0" distL="114300" distR="114300">
            <wp:extent cx="4839970" cy="3176270"/>
            <wp:effectExtent l="0" t="0" r="11430" b="11430"/>
            <wp:docPr id="4" name="图片 4" descr="截水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截水沟"/>
                    <pic:cNvPicPr>
                      <a:picLocks noChangeAspect="1"/>
                    </pic:cNvPicPr>
                  </pic:nvPicPr>
                  <pic:blipFill>
                    <a:blip r:embed="rId5"/>
                    <a:srcRect l="12469" t="52449" b="6857"/>
                    <a:stretch>
                      <a:fillRect/>
                    </a:stretch>
                  </pic:blipFill>
                  <pic:spPr>
                    <a:xfrm>
                      <a:off x="0" y="0"/>
                      <a:ext cx="4839970" cy="3176270"/>
                    </a:xfrm>
                    <a:prstGeom prst="rect">
                      <a:avLst/>
                    </a:prstGeom>
                    <a:noFill/>
                    <a:ln>
                      <a:noFill/>
                    </a:ln>
                  </pic:spPr>
                </pic:pic>
              </a:graphicData>
            </a:graphic>
          </wp:inline>
        </w:drawing>
      </w:r>
    </w:p>
    <w:p>
      <w:pPr>
        <w:spacing w:line="360" w:lineRule="auto"/>
        <w:jc w:val="center"/>
        <w:rPr>
          <w:rFonts w:hint="eastAsia" w:ascii="宋体" w:hAnsi="宋体"/>
          <w:color w:val="auto"/>
          <w:sz w:val="24"/>
        </w:rPr>
      </w:pPr>
      <w:r>
        <w:rPr>
          <w:rFonts w:hint="eastAsia" w:ascii="宋体" w:hAnsi="宋体"/>
          <w:color w:val="auto"/>
          <w:sz w:val="24"/>
        </w:rPr>
        <w:t>图</w:t>
      </w:r>
      <w:r>
        <w:rPr>
          <w:rFonts w:hint="eastAsia" w:ascii="宋体" w:hAnsi="宋体"/>
          <w:color w:val="auto"/>
          <w:sz w:val="24"/>
          <w:lang w:val="en-US" w:eastAsia="zh-CN"/>
        </w:rPr>
        <w:t>2</w:t>
      </w:r>
      <w:r>
        <w:rPr>
          <w:rFonts w:hint="eastAsia" w:ascii="宋体" w:hAnsi="宋体"/>
          <w:color w:val="auto"/>
          <w:sz w:val="24"/>
        </w:rPr>
        <w:t xml:space="preserve">  边坡截水沟立面大样图</w:t>
      </w:r>
    </w:p>
    <w:p>
      <w:pPr>
        <w:keepNext w:val="0"/>
        <w:keepLines w:val="0"/>
        <w:pageBreakBefore w:val="0"/>
        <w:kinsoku/>
        <w:wordWrap/>
        <w:overflowPunct/>
        <w:topLinePunct w:val="0"/>
        <w:bidi w:val="0"/>
        <w:spacing w:line="336" w:lineRule="auto"/>
        <w:jc w:val="center"/>
        <w:rPr>
          <w:rFonts w:ascii="宋体" w:hAnsi="宋体"/>
          <w:color w:val="FF0000"/>
          <w:sz w:val="24"/>
        </w:rPr>
      </w:pPr>
      <w:r>
        <w:rPr>
          <w:rFonts w:ascii="宋体" w:hAnsi="宋体"/>
          <w:color w:val="FF0000"/>
          <w:sz w:val="24"/>
        </w:rPr>
        <w:drawing>
          <wp:inline distT="0" distB="0" distL="114300" distR="114300">
            <wp:extent cx="4544695" cy="984250"/>
            <wp:effectExtent l="0" t="0" r="1905" b="6350"/>
            <wp:docPr id="5" name="图片 5" descr="箍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箍筋"/>
                    <pic:cNvPicPr>
                      <a:picLocks noChangeAspect="1"/>
                    </pic:cNvPicPr>
                  </pic:nvPicPr>
                  <pic:blipFill>
                    <a:blip r:embed="rId6"/>
                    <a:srcRect l="9227" t="76781" r="8142" b="10542"/>
                    <a:stretch>
                      <a:fillRect/>
                    </a:stretch>
                  </pic:blipFill>
                  <pic:spPr>
                    <a:xfrm>
                      <a:off x="0" y="0"/>
                      <a:ext cx="4544695" cy="984250"/>
                    </a:xfrm>
                    <a:prstGeom prst="rect">
                      <a:avLst/>
                    </a:prstGeom>
                    <a:noFill/>
                    <a:ln>
                      <a:noFill/>
                    </a:ln>
                  </pic:spPr>
                </pic:pic>
              </a:graphicData>
            </a:graphic>
          </wp:inline>
        </w:drawing>
      </w:r>
    </w:p>
    <w:p>
      <w:pPr>
        <w:spacing w:line="360" w:lineRule="auto"/>
        <w:ind w:firstLine="480"/>
        <w:jc w:val="center"/>
        <w:rPr>
          <w:rFonts w:hint="eastAsia" w:ascii="宋体" w:hAnsi="宋体"/>
          <w:color w:val="auto"/>
          <w:sz w:val="24"/>
        </w:rPr>
      </w:pPr>
      <w:r>
        <w:rPr>
          <w:rFonts w:hint="eastAsia" w:ascii="宋体" w:hAnsi="宋体"/>
          <w:color w:val="auto"/>
          <w:sz w:val="24"/>
        </w:rPr>
        <w:t>图</w:t>
      </w:r>
      <w:r>
        <w:rPr>
          <w:rFonts w:hint="eastAsia" w:ascii="宋体" w:hAnsi="宋体"/>
          <w:color w:val="auto"/>
          <w:sz w:val="24"/>
          <w:lang w:val="en-US" w:eastAsia="zh-CN"/>
        </w:rPr>
        <w:t>3</w:t>
      </w:r>
      <w:r>
        <w:rPr>
          <w:rFonts w:hint="eastAsia" w:ascii="宋体" w:hAnsi="宋体"/>
          <w:color w:val="auto"/>
          <w:sz w:val="24"/>
        </w:rPr>
        <w:t xml:space="preserve">  边坡截水沟箍筋制作大样图</w:t>
      </w:r>
    </w:p>
    <w:p>
      <w:pPr>
        <w:tabs>
          <w:tab w:val="left" w:pos="3360"/>
        </w:tabs>
        <w:adjustRightInd w:val="0"/>
        <w:snapToGrid w:val="0"/>
        <w:spacing w:line="360" w:lineRule="auto"/>
        <w:jc w:val="left"/>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
    <w:p/>
    <w:p/>
    <w:p/>
    <w:p>
      <w:pPr>
        <w:ind w:firstLine="498" w:firstLineChars="0"/>
        <w:rPr>
          <w:rFonts w:hint="default" w:eastAsia="宋体"/>
          <w:lang w:val="en-US" w:eastAsia="zh-CN"/>
        </w:rPr>
      </w:pPr>
      <w:r>
        <w:rPr>
          <w:rFonts w:hint="eastAsia" w:eastAsia="宋体"/>
          <w:lang w:val="en-US" w:eastAsia="zh-CN"/>
        </w:rPr>
        <w:t>营业执照、资质、信用中国截图：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4803322"/>
    <w:rsid w:val="09EA794C"/>
    <w:rsid w:val="0A764C3F"/>
    <w:rsid w:val="0B611E33"/>
    <w:rsid w:val="15F07F9B"/>
    <w:rsid w:val="17CE4F8E"/>
    <w:rsid w:val="1B8F5B45"/>
    <w:rsid w:val="1BEC1D8C"/>
    <w:rsid w:val="2183277C"/>
    <w:rsid w:val="2AA1029D"/>
    <w:rsid w:val="2F911A4F"/>
    <w:rsid w:val="37530DAA"/>
    <w:rsid w:val="381B457B"/>
    <w:rsid w:val="45702A83"/>
    <w:rsid w:val="4D7B7443"/>
    <w:rsid w:val="5180327A"/>
    <w:rsid w:val="5435675A"/>
    <w:rsid w:val="543671DD"/>
    <w:rsid w:val="581662BB"/>
    <w:rsid w:val="587C366C"/>
    <w:rsid w:val="5A752734"/>
    <w:rsid w:val="5B55535F"/>
    <w:rsid w:val="612E61C1"/>
    <w:rsid w:val="66DD1AC8"/>
    <w:rsid w:val="71447041"/>
    <w:rsid w:val="77B270DB"/>
    <w:rsid w:val="7C393EBD"/>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1"/>
    <w:pPr>
      <w:ind w:left="1004" w:hanging="646"/>
      <w:outlineLvl w:val="2"/>
    </w:pPr>
    <w:rPr>
      <w:rFonts w:ascii="宋体" w:hAnsi="宋体" w:eastAsia="宋体" w:cs="宋体"/>
      <w:b/>
      <w:bCs/>
      <w:sz w:val="32"/>
      <w:szCs w:val="32"/>
      <w:lang w:val="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2"/>
    <w:basedOn w:val="1"/>
    <w:autoRedefine/>
    <w:qFormat/>
    <w:uiPriority w:val="0"/>
    <w:pPr>
      <w:spacing w:after="120" w:line="480" w:lineRule="auto"/>
      <w:ind w:left="420" w:firstLine="539"/>
    </w:pPr>
    <w:rPr>
      <w:rFonts w:ascii="Times New Roman" w:hAnsi="Times New Roman"/>
      <w:sz w:val="2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2435</Words>
  <Characters>2569</Characters>
  <Lines>0</Lines>
  <Paragraphs>0</Paragraphs>
  <TotalTime>0</TotalTime>
  <ScaleCrop>false</ScaleCrop>
  <LinksUpToDate>false</LinksUpToDate>
  <CharactersWithSpaces>3166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dcterms:modified xsi:type="dcterms:W3CDTF">2024-06-24T07:38:33Z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AC2EE5753B7D494FAB9D567C872754E2_13</vt:lpwstr>
  </property>
</Properties>
</file>