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rPr>
        <w:t>中煤长江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pPr>
        <w:jc w:val="center"/>
        <w:textAlignment w:val="center"/>
        <w:rPr>
          <w:rFonts w:hint="default" w:ascii="仿宋" w:hAnsi="仿宋" w:eastAsia="仿宋" w:cs="仿宋"/>
          <w:sz w:val="48"/>
          <w:szCs w:val="48"/>
          <w:lang w:val="en-US" w:eastAsia="zh-CN"/>
        </w:rPr>
      </w:pPr>
      <w:r>
        <w:rPr>
          <w:rFonts w:hint="eastAsia" w:ascii="仿宋" w:hAnsi="仿宋" w:eastAsia="仿宋" w:cs="仿宋"/>
          <w:sz w:val="48"/>
          <w:szCs w:val="48"/>
          <w:lang w:val="en-US" w:eastAsia="zh-CN"/>
        </w:rPr>
        <w:t>无锡美芝电器有限公司年产300万台高端洗衣机项目桩基及支护工程</w:t>
      </w:r>
    </w:p>
    <w:p>
      <w:pPr>
        <w:jc w:val="center"/>
        <w:textAlignment w:val="center"/>
        <w:rPr>
          <w:rFonts w:hint="eastAsia" w:ascii="仿宋" w:hAnsi="仿宋" w:eastAsia="仿宋" w:cs="仿宋"/>
          <w:sz w:val="48"/>
          <w:szCs w:val="48"/>
          <w:lang w:eastAsia="zh-CN"/>
        </w:rPr>
      </w:pPr>
      <w:r>
        <w:rPr>
          <w:rFonts w:hint="eastAsia" w:ascii="仿宋" w:hAnsi="仿宋" w:eastAsia="仿宋" w:cs="仿宋"/>
          <w:snapToGrid/>
          <w:color w:val="333333"/>
          <w:sz w:val="48"/>
          <w:szCs w:val="48"/>
          <w:highlight w:val="none"/>
          <w:u w:val="single"/>
          <w:lang w:val="en-US" w:eastAsia="zh-CN"/>
        </w:rPr>
        <w:t>钢支撑租赁分包</w:t>
      </w:r>
      <w:r>
        <w:rPr>
          <w:rFonts w:hint="eastAsia" w:ascii="仿宋" w:hAnsi="仿宋" w:eastAsia="仿宋" w:cs="仿宋"/>
          <w:sz w:val="48"/>
          <w:szCs w:val="48"/>
          <w:lang w:eastAsia="zh-CN"/>
        </w:rPr>
        <w:t xml:space="preserve">采购     </w:t>
      </w:r>
    </w:p>
    <w:p>
      <w:pPr>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10"/>
        <w:rPr>
          <w:rFonts w:hint="eastAsia" w:ascii="仿宋" w:hAnsi="仿宋" w:eastAsia="仿宋" w:cs="仿宋"/>
        </w:rPr>
      </w:pPr>
    </w:p>
    <w:p>
      <w:pPr>
        <w:pStyle w:val="10"/>
        <w:rPr>
          <w:rFonts w:hint="eastAsia" w:ascii="仿宋" w:hAnsi="仿宋" w:eastAsia="仿宋" w:cs="仿宋"/>
        </w:rPr>
      </w:pPr>
    </w:p>
    <w:p>
      <w:pPr>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snapToGrid/>
          <w:color w:val="333333"/>
          <w:sz w:val="32"/>
          <w:szCs w:val="32"/>
          <w:lang w:eastAsia="zh-CN"/>
        </w:rPr>
        <w:t>ZMCJ07CG202450</w:t>
      </w:r>
      <w:r>
        <w:rPr>
          <w:rFonts w:hint="eastAsia" w:ascii="仿宋" w:hAnsi="仿宋" w:eastAsia="仿宋" w:cs="仿宋"/>
          <w:snapToGrid/>
          <w:color w:val="333333"/>
          <w:sz w:val="32"/>
          <w:szCs w:val="32"/>
          <w:lang w:val="en-US" w:eastAsia="zh-CN"/>
        </w:rPr>
        <w:t>1</w:t>
      </w:r>
      <w:bookmarkStart w:id="0" w:name="_GoBack"/>
      <w:bookmarkEnd w:id="0"/>
      <w:r>
        <w:rPr>
          <w:rFonts w:hint="eastAsia" w:ascii="仿宋" w:hAnsi="仿宋" w:eastAsia="仿宋" w:cs="仿宋"/>
          <w:snapToGrid/>
          <w:color w:val="333333"/>
          <w:sz w:val="32"/>
          <w:szCs w:val="32"/>
          <w:lang w:val="en-US" w:eastAsia="zh-CN"/>
        </w:rPr>
        <w:t>5</w:t>
      </w: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0"/>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0" w:firstLineChars="0"/>
        <w:rPr>
          <w:rFonts w:hint="eastAsia" w:ascii="仿宋" w:hAnsi="仿宋" w:eastAsia="仿宋" w:cs="仿宋"/>
          <w:color w:val="auto"/>
          <w:sz w:val="44"/>
          <w:szCs w:val="44"/>
        </w:rPr>
      </w:pPr>
    </w:p>
    <w:p>
      <w:pPr>
        <w:pStyle w:val="7"/>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pPr>
        <w:pStyle w:val="7"/>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pPr>
        <w:pStyle w:val="10"/>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7"/>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pStyle w:val="9"/>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KKO7faAAAACwEAAA8AAAAAAAAAAQAgAAAAIgAAAGRycy9kb3ducmV2Lnht&#10;bFBLAQIUABQAAAAIAIdO4kA6Hh6/FAMAAGILAAAOAAAAAAAAAAEAIAAAACkBAABkcnMvZTJvRG9j&#10;LnhtbFBLBQYAAAAABgAGAFkBAACv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9"/>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rPr>
        <w:t>报价单</w:t>
      </w:r>
    </w:p>
    <w:p>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一、项目概况</w:t>
      </w:r>
    </w:p>
    <w:p>
      <w:pPr>
        <w:tabs>
          <w:tab w:val="left" w:pos="1060"/>
          <w:tab w:val="left" w:pos="3360"/>
        </w:tabs>
        <w:spacing w:line="360" w:lineRule="auto"/>
        <w:ind w:right="-932" w:rightChars="-444"/>
        <w:rPr>
          <w:rFonts w:hint="eastAsia" w:ascii="仿宋" w:hAnsi="仿宋" w:eastAsia="仿宋" w:cs="仿宋"/>
          <w:sz w:val="24"/>
          <w:szCs w:val="24"/>
          <w:lang w:eastAsia="zh-CN"/>
        </w:rPr>
      </w:pPr>
      <w:r>
        <w:rPr>
          <w:rFonts w:hint="eastAsia" w:ascii="仿宋" w:hAnsi="仿宋" w:eastAsia="仿宋" w:cs="仿宋"/>
          <w:sz w:val="24"/>
          <w:szCs w:val="24"/>
        </w:rPr>
        <w:t>工程名称：</w:t>
      </w:r>
      <w:r>
        <w:rPr>
          <w:rFonts w:hint="eastAsia" w:ascii="仿宋" w:hAnsi="仿宋" w:eastAsia="仿宋" w:cs="仿宋"/>
          <w:sz w:val="24"/>
          <w:szCs w:val="24"/>
          <w:lang w:val="en-US" w:eastAsia="zh-CN"/>
        </w:rPr>
        <w:t>无</w:t>
      </w:r>
      <w:r>
        <w:rPr>
          <w:rFonts w:hint="eastAsia" w:ascii="仿宋" w:hAnsi="仿宋" w:eastAsia="仿宋" w:cs="仿宋"/>
          <w:snapToGrid/>
          <w:color w:val="333333"/>
          <w:sz w:val="24"/>
          <w:szCs w:val="24"/>
          <w:lang w:val="en-US" w:eastAsia="zh-CN"/>
        </w:rPr>
        <w:t>锡美芝电器有限公司年产300万台高端洗衣机项目桩基及支护工程</w:t>
      </w:r>
    </w:p>
    <w:p>
      <w:pPr>
        <w:tabs>
          <w:tab w:val="left" w:pos="1060"/>
          <w:tab w:val="left" w:pos="336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rPr>
        <w:t>工程地点：</w:t>
      </w:r>
      <w:r>
        <w:rPr>
          <w:rFonts w:hint="eastAsia" w:ascii="仿宋" w:hAnsi="仿宋" w:eastAsia="仿宋" w:cs="仿宋"/>
          <w:sz w:val="24"/>
          <w:szCs w:val="24"/>
          <w:lang w:val="en-US" w:eastAsia="zh-CN"/>
        </w:rPr>
        <w:t>江苏省无锡市新吴区</w:t>
      </w:r>
    </w:p>
    <w:p>
      <w:pPr>
        <w:tabs>
          <w:tab w:val="left" w:pos="3360"/>
        </w:tabs>
        <w:spacing w:line="360" w:lineRule="auto"/>
        <w:rPr>
          <w:rFonts w:hint="eastAsia" w:ascii="仿宋" w:hAnsi="仿宋" w:eastAsia="仿宋" w:cs="仿宋"/>
          <w:b/>
          <w:bCs/>
          <w:sz w:val="24"/>
          <w:szCs w:val="24"/>
          <w:lang w:val="en-US"/>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报价信息</w:t>
      </w:r>
      <w:r>
        <w:rPr>
          <w:rFonts w:hint="eastAsia" w:ascii="仿宋" w:hAnsi="仿宋" w:eastAsia="仿宋" w:cs="仿宋"/>
          <w:b/>
          <w:bCs/>
          <w:sz w:val="24"/>
          <w:szCs w:val="24"/>
          <w:lang w:eastAsia="zh-CN"/>
        </w:rPr>
        <w:t xml:space="preserve"> </w:t>
      </w:r>
      <w:r>
        <w:rPr>
          <w:rFonts w:hint="eastAsia" w:ascii="仿宋" w:hAnsi="仿宋" w:eastAsia="仿宋" w:cs="仿宋"/>
          <w:b/>
          <w:bCs/>
          <w:sz w:val="24"/>
          <w:szCs w:val="24"/>
          <w:lang w:val="en-US" w:eastAsia="zh-CN"/>
        </w:rPr>
        <w:t xml:space="preserve">                                  单位:元</w:t>
      </w:r>
    </w:p>
    <w:tbl>
      <w:tblPr>
        <w:tblStyle w:val="12"/>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33"/>
        <w:gridCol w:w="930"/>
        <w:gridCol w:w="1400"/>
        <w:gridCol w:w="1338"/>
        <w:gridCol w:w="1283"/>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jc w:val="center"/>
        </w:trPr>
        <w:tc>
          <w:tcPr>
            <w:tcW w:w="674"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2233"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名称</w:t>
            </w:r>
          </w:p>
        </w:tc>
        <w:tc>
          <w:tcPr>
            <w:tcW w:w="930"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单位</w:t>
            </w:r>
          </w:p>
        </w:tc>
        <w:tc>
          <w:tcPr>
            <w:tcW w:w="1400"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rPr>
              <w:t>暂定数量</w:t>
            </w:r>
          </w:p>
        </w:tc>
        <w:tc>
          <w:tcPr>
            <w:tcW w:w="1338" w:type="dxa"/>
            <w:vAlign w:val="center"/>
          </w:tcPr>
          <w:p>
            <w:pPr>
              <w:tabs>
                <w:tab w:val="left" w:pos="3360"/>
              </w:tabs>
              <w:spacing w:line="360" w:lineRule="auto"/>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综合</w:t>
            </w:r>
            <w:r>
              <w:rPr>
                <w:rFonts w:hint="eastAsia" w:ascii="仿宋" w:hAnsi="仿宋" w:eastAsia="仿宋" w:cs="仿宋"/>
                <w:b/>
                <w:bCs/>
                <w:sz w:val="22"/>
                <w:szCs w:val="22"/>
              </w:rPr>
              <w:t>单价</w:t>
            </w:r>
          </w:p>
        </w:tc>
        <w:tc>
          <w:tcPr>
            <w:tcW w:w="1283" w:type="dxa"/>
            <w:vAlign w:val="center"/>
          </w:tcPr>
          <w:p>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小</w:t>
            </w:r>
            <w:r>
              <w:rPr>
                <w:rFonts w:hint="eastAsia" w:ascii="仿宋" w:hAnsi="仿宋" w:eastAsia="仿宋" w:cs="仿宋"/>
                <w:b/>
                <w:bCs/>
                <w:sz w:val="22"/>
                <w:szCs w:val="22"/>
                <w:lang w:eastAsia="zh-CN"/>
              </w:rPr>
              <w:t>计</w:t>
            </w:r>
          </w:p>
        </w:tc>
        <w:tc>
          <w:tcPr>
            <w:tcW w:w="2102" w:type="dxa"/>
            <w:vAlign w:val="center"/>
          </w:tcPr>
          <w:p>
            <w:pPr>
              <w:tabs>
                <w:tab w:val="left" w:pos="3360"/>
              </w:tabs>
              <w:spacing w:line="360" w:lineRule="auto"/>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1</w:t>
            </w:r>
          </w:p>
        </w:tc>
        <w:tc>
          <w:tcPr>
            <w:tcW w:w="2233" w:type="dxa"/>
            <w:vAlign w:val="center"/>
          </w:tcPr>
          <w:p>
            <w:pPr>
              <w:spacing w:line="240" w:lineRule="auto"/>
              <w:jc w:val="center"/>
              <w:rPr>
                <w:rFonts w:hint="default"/>
                <w:lang w:val="en-US" w:eastAsia="zh-CN"/>
              </w:rPr>
            </w:pPr>
            <w:r>
              <w:rPr>
                <w:rFonts w:hint="eastAsia" w:asciiTheme="minorEastAsia" w:hAnsiTheme="minorEastAsia" w:eastAsiaTheme="minorEastAsia" w:cstheme="minorEastAsia"/>
                <w:lang w:val="en-US" w:eastAsia="zh-CN"/>
              </w:rPr>
              <w:t>污水处理站及泵房空压站-钢支撑、钢围檩</w:t>
            </w:r>
          </w:p>
        </w:tc>
        <w:tc>
          <w:tcPr>
            <w:tcW w:w="930"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w:t>
            </w:r>
          </w:p>
        </w:tc>
        <w:tc>
          <w:tcPr>
            <w:tcW w:w="1400"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宋体" w:hAnsi="宋体" w:cs="宋体" w:eastAsiaTheme="minorEastAsia"/>
                <w:kern w:val="0"/>
                <w:szCs w:val="21"/>
                <w:lang w:val="en-US" w:eastAsia="zh-CN"/>
              </w:rPr>
              <w:t>52.24</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220" w:firstLineChars="100"/>
              <w:jc w:val="both"/>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含一个月租期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2</w:t>
            </w:r>
          </w:p>
        </w:tc>
        <w:tc>
          <w:tcPr>
            <w:tcW w:w="2233" w:type="dxa"/>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食堂-钢支撑</w:t>
            </w:r>
          </w:p>
        </w:tc>
        <w:tc>
          <w:tcPr>
            <w:tcW w:w="930"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w:t>
            </w:r>
          </w:p>
        </w:tc>
        <w:tc>
          <w:tcPr>
            <w:tcW w:w="1400" w:type="dxa"/>
            <w:vAlign w:val="center"/>
          </w:tcPr>
          <w:p>
            <w:pPr>
              <w:jc w:val="center"/>
              <w:textAlignment w:val="center"/>
              <w:rPr>
                <w:rFonts w:hint="eastAsia"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130.24</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220" w:firstLineChars="100"/>
              <w:jc w:val="both"/>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含三个月租期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3</w:t>
            </w:r>
          </w:p>
        </w:tc>
        <w:tc>
          <w:tcPr>
            <w:tcW w:w="2233" w:type="dxa"/>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食堂-型钢立柱</w:t>
            </w:r>
          </w:p>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（可回收）</w:t>
            </w:r>
          </w:p>
        </w:tc>
        <w:tc>
          <w:tcPr>
            <w:tcW w:w="930"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w:t>
            </w:r>
          </w:p>
        </w:tc>
        <w:tc>
          <w:tcPr>
            <w:tcW w:w="1400" w:type="dxa"/>
            <w:vAlign w:val="center"/>
          </w:tcPr>
          <w:p>
            <w:pPr>
              <w:jc w:val="center"/>
              <w:textAlignment w:val="center"/>
              <w:rPr>
                <w:rFonts w:hint="eastAsia"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14.09</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220" w:firstLineChars="100"/>
              <w:jc w:val="both"/>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含三个月租期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default"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4</w:t>
            </w:r>
          </w:p>
        </w:tc>
        <w:tc>
          <w:tcPr>
            <w:tcW w:w="2233" w:type="dxa"/>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食堂-型钢立柱</w:t>
            </w:r>
          </w:p>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（不可回收）</w:t>
            </w:r>
          </w:p>
        </w:tc>
        <w:tc>
          <w:tcPr>
            <w:tcW w:w="930"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w:t>
            </w:r>
          </w:p>
        </w:tc>
        <w:tc>
          <w:tcPr>
            <w:tcW w:w="1400" w:type="dxa"/>
            <w:vAlign w:val="center"/>
          </w:tcPr>
          <w:p>
            <w:pPr>
              <w:jc w:val="center"/>
              <w:textAlignment w:val="center"/>
              <w:rPr>
                <w:rFonts w:hint="default"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29.26</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440" w:firstLineChars="200"/>
              <w:jc w:val="both"/>
              <w:textAlignment w:val="center"/>
              <w:rPr>
                <w:rFonts w:hint="default"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5</w:t>
            </w:r>
          </w:p>
        </w:tc>
        <w:tc>
          <w:tcPr>
            <w:tcW w:w="2233" w:type="dxa"/>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不可回收螺栓</w:t>
            </w:r>
          </w:p>
        </w:tc>
        <w:tc>
          <w:tcPr>
            <w:tcW w:w="930"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套</w:t>
            </w:r>
          </w:p>
        </w:tc>
        <w:tc>
          <w:tcPr>
            <w:tcW w:w="1400" w:type="dxa"/>
            <w:vAlign w:val="center"/>
          </w:tcPr>
          <w:p>
            <w:pPr>
              <w:jc w:val="center"/>
              <w:textAlignment w:val="center"/>
              <w:rPr>
                <w:rFonts w:hint="eastAsia"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192</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ind w:firstLine="440" w:firstLineChars="200"/>
              <w:jc w:val="both"/>
              <w:textAlignment w:val="center"/>
              <w:rPr>
                <w:rFonts w:hint="eastAsia"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4"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6</w:t>
            </w:r>
          </w:p>
        </w:tc>
        <w:tc>
          <w:tcPr>
            <w:tcW w:w="2233" w:type="dxa"/>
            <w:vAlign w:val="center"/>
          </w:tcPr>
          <w:p>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超期租赁费</w:t>
            </w:r>
          </w:p>
        </w:tc>
        <w:tc>
          <w:tcPr>
            <w:tcW w:w="930"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r>
              <w:rPr>
                <w:rFonts w:hint="eastAsia" w:asciiTheme="minorEastAsia" w:hAnsiTheme="minorEastAsia" w:eastAsiaTheme="minorEastAsia" w:cstheme="minorEastAsia"/>
                <w:sz w:val="22"/>
                <w:szCs w:val="22"/>
                <w:lang w:val="en-US" w:eastAsia="zh-CN" w:bidi="ar"/>
              </w:rPr>
              <w:t>吨·天</w:t>
            </w:r>
          </w:p>
        </w:tc>
        <w:tc>
          <w:tcPr>
            <w:tcW w:w="1400" w:type="dxa"/>
            <w:vAlign w:val="center"/>
          </w:tcPr>
          <w:p>
            <w:pPr>
              <w:jc w:val="center"/>
              <w:textAlignment w:val="center"/>
              <w:rPr>
                <w:rFonts w:hint="default"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196.57</w:t>
            </w:r>
          </w:p>
        </w:tc>
        <w:tc>
          <w:tcPr>
            <w:tcW w:w="1338"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1283" w:type="dxa"/>
            <w:vAlign w:val="center"/>
          </w:tcPr>
          <w:p>
            <w:pPr>
              <w:jc w:val="center"/>
              <w:textAlignment w:val="center"/>
              <w:rPr>
                <w:rFonts w:hint="eastAsia" w:asciiTheme="minorEastAsia" w:hAnsiTheme="minorEastAsia" w:eastAsiaTheme="minorEastAsia" w:cstheme="minorEastAsia"/>
                <w:sz w:val="22"/>
                <w:szCs w:val="22"/>
                <w:lang w:val="en-US" w:eastAsia="zh-CN" w:bidi="ar"/>
              </w:rPr>
            </w:pPr>
          </w:p>
        </w:tc>
        <w:tc>
          <w:tcPr>
            <w:tcW w:w="2102" w:type="dxa"/>
            <w:vAlign w:val="center"/>
          </w:tcPr>
          <w:p>
            <w:pPr>
              <w:numPr>
                <w:ilvl w:val="0"/>
                <w:numId w:val="0"/>
              </w:numPr>
              <w:jc w:val="both"/>
              <w:textAlignment w:val="center"/>
              <w:rPr>
                <w:rFonts w:hint="default" w:asciiTheme="minorEastAsia" w:hAnsiTheme="minorEastAsia" w:eastAsiaTheme="minorEastAsia" w:cstheme="minorEastAsia"/>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907" w:type="dxa"/>
            <w:gridSpan w:val="2"/>
            <w:vAlign w:val="center"/>
          </w:tcPr>
          <w:p>
            <w:pPr>
              <w:spacing w:line="360" w:lineRule="auto"/>
              <w:jc w:val="center"/>
              <w:rPr>
                <w:rFonts w:hint="eastAsia" w:ascii="仿宋" w:hAnsi="仿宋" w:eastAsia="仿宋" w:cs="仿宋"/>
                <w:sz w:val="18"/>
                <w:szCs w:val="18"/>
                <w:lang w:eastAsia="zh-CN"/>
              </w:rPr>
            </w:pPr>
            <w:r>
              <w:rPr>
                <w:rFonts w:hint="eastAsia" w:ascii="仿宋" w:hAnsi="仿宋" w:eastAsia="仿宋" w:cs="仿宋"/>
                <w:sz w:val="21"/>
                <w:szCs w:val="21"/>
                <w:lang w:eastAsia="zh-CN"/>
              </w:rPr>
              <w:t>合计：</w:t>
            </w:r>
          </w:p>
        </w:tc>
        <w:tc>
          <w:tcPr>
            <w:tcW w:w="7053" w:type="dxa"/>
            <w:gridSpan w:val="5"/>
            <w:vAlign w:val="center"/>
          </w:tcPr>
          <w:p>
            <w:pPr>
              <w:tabs>
                <w:tab w:val="left" w:pos="3360"/>
              </w:tabs>
              <w:spacing w:line="360"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小写：</w:t>
            </w:r>
            <w:r>
              <w:rPr>
                <w:rFonts w:hint="eastAsia" w:ascii="宋体" w:hAnsi="宋体" w:eastAsia="宋体" w:cs="宋体"/>
                <w:b/>
                <w:bCs/>
                <w:sz w:val="24"/>
                <w:szCs w:val="24"/>
                <w:lang w:val="en-US" w:eastAsia="zh-CN"/>
              </w:rPr>
              <w:t>￥</w:t>
            </w:r>
            <w:r>
              <w:rPr>
                <w:rFonts w:hint="eastAsia" w:ascii="仿宋" w:hAnsi="仿宋" w:eastAsia="仿宋" w:cs="仿宋"/>
                <w:b/>
                <w:bCs/>
                <w:sz w:val="24"/>
                <w:szCs w:val="24"/>
                <w:lang w:val="en-US" w:eastAsia="zh-CN"/>
              </w:rPr>
              <w:t xml:space="preserve">                  大写：</w:t>
            </w:r>
          </w:p>
        </w:tc>
      </w:tr>
    </w:tbl>
    <w:p>
      <w:pPr>
        <w:tabs>
          <w:tab w:val="left" w:pos="3360"/>
        </w:tabs>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注：1.以上报价是否含税：是</w:t>
      </w:r>
      <w:r>
        <w:rPr>
          <w:rFonts w:hint="eastAsia" w:ascii="仿宋" w:hAnsi="仿宋" w:eastAsia="仿宋" w:cs="仿宋"/>
          <w:sz w:val="24"/>
          <w:szCs w:val="24"/>
        </w:rPr>
        <w:sym w:font="Wingdings" w:char="00A8"/>
      </w:r>
      <w:r>
        <w:rPr>
          <w:rFonts w:hint="eastAsia" w:ascii="仿宋" w:hAnsi="仿宋" w:eastAsia="仿宋" w:cs="仿宋"/>
          <w:sz w:val="24"/>
          <w:szCs w:val="24"/>
        </w:rPr>
        <w:t>（税率：</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rPr>
        <w:t xml:space="preserve"> ％） 否</w:t>
      </w:r>
      <w:r>
        <w:rPr>
          <w:rFonts w:hint="eastAsia" w:ascii="仿宋" w:hAnsi="仿宋" w:eastAsia="仿宋" w:cs="仿宋"/>
          <w:sz w:val="24"/>
          <w:szCs w:val="24"/>
        </w:rPr>
        <w:sym w:font="Wingdings" w:char="F0A8"/>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rPr>
        <w:t>以上材料报价有效期为</w:t>
      </w:r>
      <w:r>
        <w:rPr>
          <w:rFonts w:hint="eastAsia" w:ascii="仿宋" w:hAnsi="仿宋" w:eastAsia="仿宋" w:cs="仿宋"/>
          <w:sz w:val="24"/>
          <w:szCs w:val="24"/>
          <w:u w:val="single"/>
          <w:lang w:val="en-US" w:eastAsia="zh-CN"/>
        </w:rPr>
        <w:t xml:space="preserve"> 30 </w:t>
      </w:r>
      <w:r>
        <w:rPr>
          <w:rFonts w:hint="eastAsia" w:ascii="仿宋" w:hAnsi="仿宋" w:eastAsia="仿宋" w:cs="仿宋"/>
          <w:sz w:val="24"/>
          <w:szCs w:val="24"/>
        </w:rPr>
        <w:t>天</w:t>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rPr>
        <w:t>如某单价与总价不符，则以较低价为准，或作废标处理</w:t>
      </w:r>
      <w:r>
        <w:rPr>
          <w:rFonts w:hint="eastAsia" w:ascii="仿宋" w:hAnsi="仿宋" w:eastAsia="仿宋" w:cs="仿宋"/>
          <w:sz w:val="24"/>
          <w:szCs w:val="24"/>
          <w:lang w:eastAsia="zh-CN"/>
        </w:rPr>
        <w:t>；</w:t>
      </w:r>
    </w:p>
    <w:p>
      <w:pPr>
        <w:tabs>
          <w:tab w:val="left" w:pos="336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4.上述清单为暂定工程量，最终完工量据实结算</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结算方式：</w:t>
      </w:r>
    </w:p>
    <w:p>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F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1.商业承兑，接收比例或金额：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sz w:val="24"/>
          <w:szCs w:val="24"/>
          <w:u w:val="single"/>
        </w:rPr>
      </w:pP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2.银行承兑，接收比例或金额：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tabs>
          <w:tab w:val="left" w:pos="3360"/>
        </w:tabs>
        <w:spacing w:line="36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eastAsia="仿宋" w:cs="Arial"/>
          <w:sz w:val="24"/>
          <w:szCs w:val="24"/>
          <w:lang w:val="en-US" w:eastAsia="zh-CN"/>
        </w:rPr>
        <w:t xml:space="preserve">  </w:t>
      </w:r>
      <w:r>
        <w:rPr>
          <w:rFonts w:hint="eastAsia" w:ascii="仿宋" w:hAnsi="仿宋" w:eastAsia="仿宋" w:cs="仿宋"/>
          <w:sz w:val="24"/>
          <w:szCs w:val="24"/>
        </w:rPr>
        <w:t>3.现金结算。</w:t>
      </w:r>
    </w:p>
    <w:p>
      <w:pPr>
        <w:numPr>
          <w:ilvl w:val="0"/>
          <w:numId w:val="1"/>
        </w:numPr>
        <w:tabs>
          <w:tab w:val="left" w:pos="3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付款方式：</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①2025年春节前付款到合格工程量价款60％；</w:t>
      </w:r>
    </w:p>
    <w:p>
      <w:pPr>
        <w:pStyle w:val="2"/>
        <w:ind w:left="0" w:leftChars="0" w:firstLine="0" w:firstLineChars="0"/>
        <w:rPr>
          <w:rFonts w:hint="default"/>
          <w:lang w:val="en-US" w:eastAsia="zh-CN"/>
        </w:rPr>
      </w:pPr>
      <w:r>
        <w:rPr>
          <w:rFonts w:hint="eastAsia" w:ascii="仿宋" w:hAnsi="仿宋" w:eastAsia="仿宋" w:cs="仿宋"/>
          <w:sz w:val="24"/>
          <w:szCs w:val="24"/>
          <w:lang w:val="en-US" w:eastAsia="zh-CN"/>
        </w:rPr>
        <w:t>②2026年春节前分两次付款结清。</w:t>
      </w:r>
    </w:p>
    <w:p>
      <w:pPr>
        <w:tabs>
          <w:tab w:val="left" w:pos="3360"/>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报价人（单位盖章）：</w:t>
      </w:r>
    </w:p>
    <w:p>
      <w:pPr>
        <w:tabs>
          <w:tab w:val="left" w:pos="3360"/>
        </w:tabs>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代表：            </w:t>
      </w:r>
      <w:r>
        <w:rPr>
          <w:rFonts w:hint="eastAsia" w:ascii="仿宋" w:hAnsi="仿宋" w:eastAsia="仿宋" w:cs="仿宋"/>
          <w:sz w:val="28"/>
          <w:szCs w:val="28"/>
          <w:lang w:eastAsia="zh-CN"/>
        </w:rPr>
        <w:t xml:space="preserve">  </w:t>
      </w:r>
      <w:r>
        <w:rPr>
          <w:rFonts w:hint="eastAsia" w:ascii="仿宋" w:hAnsi="仿宋" w:eastAsia="仿宋" w:cs="仿宋"/>
          <w:sz w:val="28"/>
          <w:szCs w:val="28"/>
        </w:rPr>
        <w:t xml:space="preserve"> 联系电话：</w:t>
      </w:r>
    </w:p>
    <w:p>
      <w:pPr>
        <w:rPr>
          <w:rFonts w:hint="eastAsia" w:ascii="宋体" w:hAnsi="宋体" w:eastAsia="宋体" w:cs="宋体"/>
          <w:sz w:val="22"/>
          <w:szCs w:val="21"/>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报价日期：  年   月   日</w:t>
      </w:r>
      <w:r>
        <w:rPr>
          <w:rFonts w:hint="eastAsia" w:ascii="宋体" w:hAnsi="宋体" w:eastAsia="宋体" w:cs="宋体"/>
          <w:sz w:val="22"/>
          <w:szCs w:val="21"/>
          <w:lang w:val="en-US" w:eastAsia="zh-CN"/>
        </w:rPr>
        <w:br w:type="page"/>
      </w:r>
    </w:p>
    <w:p>
      <w:pPr>
        <w:pStyle w:val="2"/>
        <w:rPr>
          <w:rFonts w:hint="eastAsia"/>
        </w:rPr>
      </w:pPr>
    </w:p>
    <w:p>
      <w:pPr>
        <w:pStyle w:val="8"/>
        <w:tabs>
          <w:tab w:val="left" w:pos="3149"/>
        </w:tabs>
        <w:overflowPunct w:val="0"/>
        <w:ind w:right="68"/>
        <w:jc w:val="center"/>
        <w:rPr>
          <w:rFonts w:hint="eastAsia" w:ascii="仿宋" w:hAnsi="仿宋" w:eastAsia="仿宋" w:cs="仿宋"/>
          <w:b/>
          <w:sz w:val="36"/>
          <w:szCs w:val="36"/>
        </w:rPr>
      </w:pPr>
    </w:p>
    <w:p>
      <w:pPr>
        <w:pStyle w:val="8"/>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8"/>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kern w:val="2"/>
          <w:szCs w:val="24"/>
          <w:lang w:eastAsia="zh-CN"/>
        </w:rPr>
        <w:t>13451945932</w:t>
      </w:r>
      <w:r>
        <w:rPr>
          <w:rFonts w:hint="eastAsia" w:ascii="仿宋" w:hAnsi="仿宋" w:eastAsia="仿宋" w:cs="仿宋"/>
          <w:kern w:val="2"/>
          <w:szCs w:val="24"/>
        </w:rPr>
        <w:t>,联系人:</w:t>
      </w:r>
      <w:r>
        <w:rPr>
          <w:rFonts w:hint="eastAsia" w:ascii="仿宋" w:hAnsi="仿宋" w:eastAsia="仿宋" w:cs="仿宋"/>
          <w:kern w:val="2"/>
          <w:szCs w:val="24"/>
          <w:lang w:eastAsia="zh-CN"/>
        </w:rPr>
        <w:t>张春林</w:t>
      </w:r>
      <w:r>
        <w:rPr>
          <w:rFonts w:hint="eastAsia" w:ascii="仿宋" w:hAnsi="仿宋" w:eastAsia="仿宋" w:cs="仿宋"/>
          <w:kern w:val="2"/>
          <w:szCs w:val="24"/>
        </w:rPr>
        <w:t>)。</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3"/>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8"/>
        <w:overflowPunct w:val="0"/>
        <w:rPr>
          <w:rFonts w:hint="eastAsia" w:ascii="仿宋" w:hAnsi="仿宋" w:eastAsia="仿宋" w:cs="仿宋"/>
          <w:sz w:val="18"/>
          <w:szCs w:val="18"/>
        </w:rPr>
      </w:pPr>
    </w:p>
    <w:p>
      <w:pPr>
        <w:pStyle w:val="13"/>
        <w:autoSpaceDE/>
        <w:autoSpaceDN/>
        <w:adjustRightInd/>
        <w:spacing w:line="560" w:lineRule="exact"/>
        <w:jc w:val="both"/>
        <w:rPr>
          <w:rFonts w:hint="eastAsia" w:ascii="仿宋" w:hAnsi="仿宋" w:eastAsia="仿宋" w:cs="仿宋"/>
          <w:kern w:val="2"/>
          <w:szCs w:val="24"/>
        </w:rPr>
      </w:pPr>
    </w:p>
    <w:p>
      <w:pPr>
        <w:pStyle w:val="13"/>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3"/>
        <w:autoSpaceDE/>
        <w:autoSpaceDN/>
        <w:adjustRightInd/>
        <w:spacing w:line="560" w:lineRule="exact"/>
        <w:rPr>
          <w:rFonts w:hint="eastAsia" w:ascii="仿宋" w:hAnsi="仿宋" w:eastAsia="仿宋" w:cs="仿宋"/>
          <w:kern w:val="2"/>
          <w:szCs w:val="24"/>
        </w:rPr>
      </w:pPr>
    </w:p>
    <w:p>
      <w:pPr>
        <w:pStyle w:val="13"/>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Pr>
        <w:pStyle w:val="2"/>
        <w:rPr>
          <w:rFonts w:hint="eastAsia"/>
        </w:rPr>
      </w:pPr>
    </w:p>
    <w:p/>
    <w:p/>
    <w:p>
      <w:pPr>
        <w:rPr>
          <w:rFonts w:hint="default" w:eastAsia="宋体"/>
          <w:highlight w:val="yellow"/>
          <w:lang w:val="en-US" w:eastAsia="zh-CN"/>
        </w:rPr>
      </w:pPr>
      <w:r>
        <w:rPr>
          <w:rFonts w:hint="eastAsia" w:eastAsia="宋体"/>
          <w:highlight w:val="yellow"/>
          <w:lang w:val="en-US" w:eastAsia="zh-CN"/>
        </w:rPr>
        <w:t>营业执照、开户许可、安许证等相关资信材料</w:t>
      </w:r>
    </w:p>
    <w:p>
      <w:pPr>
        <w:pStyle w:val="2"/>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3169F"/>
    <w:multiLevelType w:val="singleLevel"/>
    <w:tmpl w:val="CDE316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WQ5OTkxMmZjN2U3NGNmZDk5ODMzN2NhZGUwODYifQ=="/>
  </w:docVars>
  <w:rsids>
    <w:rsidRoot w:val="00000000"/>
    <w:rsid w:val="04803322"/>
    <w:rsid w:val="05406957"/>
    <w:rsid w:val="09EA794C"/>
    <w:rsid w:val="0A764C3F"/>
    <w:rsid w:val="0E86188A"/>
    <w:rsid w:val="15F07F9B"/>
    <w:rsid w:val="29652F79"/>
    <w:rsid w:val="29FC0ADF"/>
    <w:rsid w:val="2DDE01C9"/>
    <w:rsid w:val="2F911A4F"/>
    <w:rsid w:val="3AC235D5"/>
    <w:rsid w:val="422D4EA2"/>
    <w:rsid w:val="47622EF7"/>
    <w:rsid w:val="480B7A46"/>
    <w:rsid w:val="4BF21067"/>
    <w:rsid w:val="4E014DAD"/>
    <w:rsid w:val="512E0D46"/>
    <w:rsid w:val="5180327A"/>
    <w:rsid w:val="54D5664E"/>
    <w:rsid w:val="584D5DC3"/>
    <w:rsid w:val="5C520C78"/>
    <w:rsid w:val="5E4008A1"/>
    <w:rsid w:val="602F04A2"/>
    <w:rsid w:val="662368FF"/>
    <w:rsid w:val="669929BC"/>
    <w:rsid w:val="6D6379AF"/>
    <w:rsid w:val="7BFC6C72"/>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7">
    <w:name w:val="Body Text First Indent"/>
    <w:basedOn w:val="8"/>
    <w:unhideWhenUsed/>
    <w:qFormat/>
    <w:uiPriority w:val="99"/>
    <w:pPr>
      <w:ind w:firstLine="420" w:firstLineChars="100"/>
    </w:pPr>
    <w:rPr>
      <w:rFonts w:ascii="Calibri" w:hAnsi="Calibri" w:eastAsia="宋体" w:cs="Times New Roman"/>
      <w:szCs w:val="22"/>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Body Text Indent 2"/>
    <w:basedOn w:val="1"/>
    <w:qFormat/>
    <w:uiPriority w:val="0"/>
    <w:pPr>
      <w:spacing w:after="120" w:line="480" w:lineRule="auto"/>
      <w:ind w:left="420" w:firstLine="539"/>
    </w:pPr>
    <w:rPr>
      <w:rFonts w:ascii="Times New Roman" w:hAnsi="Times New Roman"/>
      <w:sz w:val="28"/>
    </w:rPr>
  </w:style>
  <w:style w:type="paragraph" w:styleId="10">
    <w:name w:val="toc 2"/>
    <w:basedOn w:val="1"/>
    <w:next w:val="1"/>
    <w:qFormat/>
    <w:uiPriority w:val="39"/>
    <w:pPr>
      <w:ind w:left="420" w:leftChars="200"/>
    </w:p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1826</Words>
  <Characters>1882</Characters>
  <Lines>0</Lines>
  <Paragraphs>0</Paragraphs>
  <TotalTime>8</TotalTime>
  <ScaleCrop>false</ScaleCrop>
  <LinksUpToDate>false</LinksUpToDate>
  <CharactersWithSpaces>2530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孟小雷</cp:lastModifiedBy>
  <dcterms:modified xsi:type="dcterms:W3CDTF">2024-10-31T06:49:58Z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7A95F6E205C04939BA7AF6058F0ECB22_13</vt:lpwstr>
  </property>
</Properties>
</file>