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我公司拟进行哈汽重燃及核电装备生产制造基地项目一期工程总承包（EPC）工程桩基及土方工程项目</w:t>
      </w:r>
      <w:r>
        <w:rPr>
          <w:rFonts w:hint="eastAsia" w:ascii="仿宋" w:hAnsi="仿宋" w:eastAsia="仿宋" w:cs="仿宋"/>
          <w:snapToGrid/>
          <w:sz w:val="28"/>
          <w:szCs w:val="28"/>
          <w:lang w:val="en-US" w:eastAsia="zh-CN"/>
        </w:rPr>
        <w:t>土方内倒、泥浆处理等劳务分包竞争谈判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ZMCJ07CG20243022</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项目名称：哈汽重燃及核电装备生产制造基地项目一期工程总承包（EPC）工程桩基及土方工程</w:t>
      </w:r>
    </w:p>
    <w:p w14:paraId="5964561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土方内倒约12000m</w:t>
      </w:r>
      <w:r>
        <w:rPr>
          <w:rFonts w:hint="eastAsia" w:ascii="仿宋" w:hAnsi="仿宋" w:eastAsia="仿宋" w:cs="仿宋"/>
          <w:snapToGrid/>
          <w:sz w:val="28"/>
          <w:szCs w:val="28"/>
          <w:vertAlign w:val="superscript"/>
          <w:lang w:val="en-US" w:eastAsia="zh-CN"/>
        </w:rPr>
        <w:t>3</w:t>
      </w:r>
      <w:r>
        <w:rPr>
          <w:rFonts w:hint="eastAsia" w:ascii="仿宋" w:hAnsi="仿宋" w:eastAsia="仿宋" w:cs="仿宋"/>
          <w:snapToGrid/>
          <w:sz w:val="28"/>
          <w:szCs w:val="28"/>
          <w:lang w:val="en-US" w:eastAsia="zh-CN"/>
        </w:rPr>
        <w:t>、泥浆处理约4500m</w:t>
      </w:r>
      <w:r>
        <w:rPr>
          <w:rFonts w:hint="eastAsia" w:ascii="仿宋" w:hAnsi="仿宋" w:eastAsia="仿宋" w:cs="仿宋"/>
          <w:snapToGrid/>
          <w:sz w:val="28"/>
          <w:szCs w:val="28"/>
          <w:vertAlign w:val="superscript"/>
          <w:lang w:val="en-US" w:eastAsia="zh-CN"/>
        </w:rPr>
        <w:t>3</w:t>
      </w:r>
      <w:r>
        <w:rPr>
          <w:rFonts w:hint="eastAsia" w:ascii="仿宋" w:hAnsi="仿宋" w:eastAsia="仿宋" w:cs="仿宋"/>
          <w:snapToGrid/>
          <w:sz w:val="28"/>
          <w:szCs w:val="28"/>
          <w:lang w:val="en-US" w:eastAsia="zh-CN"/>
        </w:rPr>
        <w:t>、洗车池砌筑1项、杂工（道路清扫、辅助）约450人*工</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：镇江高新区</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最高限价:70万元。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4</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11</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21</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44619AE0">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15</w:t>
      </w:r>
      <w:r>
        <w:rPr>
          <w:rFonts w:hint="eastAsia" w:ascii="仿宋" w:hAnsi="仿宋" w:eastAsia="仿宋" w:cs="仿宋"/>
          <w:snapToGrid/>
          <w:color w:val="333333"/>
          <w:sz w:val="28"/>
          <w:szCs w:val="28"/>
          <w:lang w:eastAsia="zh-CN"/>
        </w:rPr>
        <w:t>日</w:t>
      </w:r>
    </w:p>
    <w:p w14:paraId="24B3553A">
      <w:pPr>
        <w:pStyle w:val="9"/>
        <w:spacing w:after="0" w:line="360" w:lineRule="auto"/>
        <w:ind w:left="0" w:firstLine="0"/>
        <w:jc w:val="center"/>
        <w:rPr>
          <w:rFonts w:hint="eastAsia" w:ascii="仿宋" w:hAnsi="仿宋" w:eastAsia="仿宋" w:cs="仿宋"/>
          <w:b w:val="0"/>
          <w:bCs w:val="0"/>
          <w:kern w:val="2"/>
          <w:sz w:val="48"/>
          <w:szCs w:val="48"/>
          <w:lang w:val="en-US" w:eastAsia="zh-CN" w:bidi="ar-SA"/>
        </w:rPr>
      </w:pPr>
    </w:p>
    <w:p w14:paraId="62A4C37F">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kern w:val="2"/>
          <w:sz w:val="48"/>
          <w:szCs w:val="48"/>
          <w:lang w:val="en-US" w:eastAsia="zh-CN" w:bidi="ar-SA"/>
        </w:rPr>
        <w:t>哈汽重燃及核电装备生产制造基地项目一期工程总承包（EPC）工程桩基及土方工程项目</w:t>
      </w:r>
    </w:p>
    <w:p w14:paraId="16F815AC">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sz w:val="48"/>
          <w:szCs w:val="48"/>
          <w:lang w:val="en-US" w:eastAsia="zh-CN"/>
        </w:rPr>
        <w:t>土方内倒、泥浆处理等劳务分包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bookmarkStart w:id="1" w:name="_GoBack"/>
      <w:bookmarkEnd w:id="1"/>
    </w:p>
    <w:p w14:paraId="24A7D801">
      <w:pPr>
        <w:pStyle w:val="10"/>
        <w:jc w:val="center"/>
        <w:rPr>
          <w:rFonts w:hint="eastAsia" w:ascii="仿宋" w:hAnsi="仿宋" w:eastAsia="仿宋" w:cs="仿宋"/>
        </w:rPr>
      </w:pPr>
    </w:p>
    <w:p w14:paraId="21FB35AD">
      <w:pPr>
        <w:pStyle w:val="10"/>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22</w:t>
      </w:r>
    </w:p>
    <w:p w14:paraId="0838504E">
      <w:pPr>
        <w:pStyle w:val="11"/>
        <w:ind w:firstLine="640" w:firstLineChars="200"/>
        <w:jc w:val="center"/>
        <w:rPr>
          <w:rFonts w:hint="eastAsia" w:ascii="仿宋" w:hAnsi="仿宋" w:eastAsia="仿宋" w:cs="仿宋"/>
          <w:color w:val="auto"/>
          <w:sz w:val="32"/>
          <w:szCs w:val="32"/>
          <w:lang w:eastAsia="zh-CN"/>
        </w:rPr>
      </w:pPr>
    </w:p>
    <w:p w14:paraId="7DB1C060">
      <w:pPr>
        <w:pStyle w:val="11"/>
        <w:ind w:firstLine="640" w:firstLineChars="200"/>
        <w:jc w:val="center"/>
        <w:rPr>
          <w:rFonts w:hint="eastAsia" w:ascii="仿宋" w:hAnsi="仿宋" w:eastAsia="仿宋" w:cs="仿宋"/>
          <w:color w:val="auto"/>
          <w:sz w:val="32"/>
          <w:szCs w:val="32"/>
        </w:rPr>
      </w:pPr>
    </w:p>
    <w:p w14:paraId="2C7A2B91">
      <w:pPr>
        <w:pStyle w:val="11"/>
        <w:ind w:firstLine="640" w:firstLineChars="200"/>
        <w:jc w:val="center"/>
        <w:rPr>
          <w:rFonts w:hint="eastAsia" w:ascii="仿宋" w:hAnsi="仿宋" w:eastAsia="仿宋" w:cs="仿宋"/>
          <w:color w:val="auto"/>
          <w:sz w:val="32"/>
          <w:szCs w:val="32"/>
        </w:rPr>
      </w:pPr>
    </w:p>
    <w:p w14:paraId="4C13D180">
      <w:pPr>
        <w:pStyle w:val="11"/>
        <w:ind w:firstLine="640" w:firstLineChars="200"/>
        <w:jc w:val="center"/>
        <w:rPr>
          <w:rFonts w:hint="eastAsia" w:ascii="仿宋" w:hAnsi="仿宋" w:eastAsia="仿宋" w:cs="仿宋"/>
          <w:color w:val="auto"/>
          <w:sz w:val="32"/>
          <w:szCs w:val="32"/>
        </w:rPr>
      </w:pPr>
    </w:p>
    <w:p w14:paraId="4CE35233">
      <w:pPr>
        <w:pStyle w:val="11"/>
        <w:ind w:firstLine="640" w:firstLineChars="200"/>
        <w:jc w:val="center"/>
        <w:rPr>
          <w:rFonts w:hint="eastAsia" w:ascii="仿宋" w:hAnsi="仿宋" w:eastAsia="仿宋" w:cs="仿宋"/>
          <w:color w:val="auto"/>
          <w:sz w:val="32"/>
          <w:szCs w:val="32"/>
        </w:rPr>
      </w:pPr>
    </w:p>
    <w:p w14:paraId="17FC67E4">
      <w:pPr>
        <w:pStyle w:val="11"/>
        <w:ind w:firstLine="640" w:firstLineChars="200"/>
        <w:jc w:val="center"/>
        <w:rPr>
          <w:rFonts w:hint="eastAsia" w:ascii="仿宋" w:hAnsi="仿宋" w:eastAsia="仿宋" w:cs="仿宋"/>
          <w:color w:val="auto"/>
          <w:sz w:val="32"/>
          <w:szCs w:val="32"/>
        </w:rPr>
      </w:pPr>
    </w:p>
    <w:p w14:paraId="0A5D69F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11"/>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10"/>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9"/>
        <w:spacing w:after="0" w:line="360" w:lineRule="auto"/>
        <w:ind w:left="0" w:firstLine="0"/>
        <w:jc w:val="both"/>
        <w:rPr>
          <w:rFonts w:hint="eastAsia" w:ascii="仿宋" w:hAnsi="仿宋" w:eastAsia="仿宋" w:cs="仿宋"/>
          <w:szCs w:val="28"/>
        </w:rPr>
      </w:pPr>
    </w:p>
    <w:p w14:paraId="34154990">
      <w:pPr>
        <w:pStyle w:val="9"/>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6A045A60">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1EA35656">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9"/>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26FEBA65">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哈汽重燃及核电装备生产制造基地项目一期工程总承包（EPC）工程桩基及土方工程</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镇江高新区</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13"/>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21"/>
        <w:gridCol w:w="1986"/>
        <w:gridCol w:w="1230"/>
        <w:gridCol w:w="1505"/>
        <w:gridCol w:w="946"/>
        <w:gridCol w:w="1701"/>
      </w:tblGrid>
      <w:tr w14:paraId="67C4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5" w:type="dxa"/>
            <w:vAlign w:val="center"/>
          </w:tcPr>
          <w:p w14:paraId="2CC26E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序号</w:t>
            </w:r>
          </w:p>
        </w:tc>
        <w:tc>
          <w:tcPr>
            <w:tcW w:w="1521" w:type="dxa"/>
            <w:vAlign w:val="center"/>
          </w:tcPr>
          <w:p w14:paraId="3CA8B3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名称</w:t>
            </w:r>
          </w:p>
        </w:tc>
        <w:tc>
          <w:tcPr>
            <w:tcW w:w="1986" w:type="dxa"/>
            <w:vAlign w:val="center"/>
          </w:tcPr>
          <w:p w14:paraId="50480EE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单位</w:t>
            </w:r>
          </w:p>
        </w:tc>
        <w:tc>
          <w:tcPr>
            <w:tcW w:w="1230" w:type="dxa"/>
            <w:vAlign w:val="center"/>
          </w:tcPr>
          <w:p w14:paraId="572FE8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暂定数量</w:t>
            </w:r>
          </w:p>
        </w:tc>
        <w:tc>
          <w:tcPr>
            <w:tcW w:w="1505" w:type="dxa"/>
            <w:vAlign w:val="center"/>
          </w:tcPr>
          <w:p w14:paraId="430862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含税单价（元）</w:t>
            </w:r>
          </w:p>
        </w:tc>
        <w:tc>
          <w:tcPr>
            <w:tcW w:w="946" w:type="dxa"/>
            <w:vAlign w:val="center"/>
          </w:tcPr>
          <w:p w14:paraId="32B64F0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合计（元）</w:t>
            </w:r>
          </w:p>
        </w:tc>
        <w:tc>
          <w:tcPr>
            <w:tcW w:w="1701" w:type="dxa"/>
            <w:vAlign w:val="center"/>
          </w:tcPr>
          <w:p w14:paraId="3A58B2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备注</w:t>
            </w:r>
          </w:p>
        </w:tc>
      </w:tr>
      <w:tr w14:paraId="1BAA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5" w:type="dxa"/>
            <w:vAlign w:val="center"/>
          </w:tcPr>
          <w:p w14:paraId="6839CE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521" w:type="dxa"/>
            <w:vAlign w:val="center"/>
          </w:tcPr>
          <w:p w14:paraId="773D53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土方内倒</w:t>
            </w:r>
          </w:p>
        </w:tc>
        <w:tc>
          <w:tcPr>
            <w:tcW w:w="1986" w:type="dxa"/>
            <w:vAlign w:val="center"/>
          </w:tcPr>
          <w:p w14:paraId="25A8CD6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m</w:t>
            </w:r>
            <w:r>
              <w:rPr>
                <w:rFonts w:hint="eastAsia" w:ascii="仿宋" w:hAnsi="仿宋" w:eastAsia="仿宋" w:cs="仿宋"/>
                <w:color w:val="auto"/>
                <w:sz w:val="24"/>
                <w:szCs w:val="24"/>
                <w:vertAlign w:val="superscript"/>
                <w:lang w:val="en-US" w:eastAsia="zh-CN"/>
              </w:rPr>
              <w:t>3</w:t>
            </w:r>
          </w:p>
        </w:tc>
        <w:tc>
          <w:tcPr>
            <w:tcW w:w="1230" w:type="dxa"/>
            <w:vAlign w:val="center"/>
          </w:tcPr>
          <w:p w14:paraId="465B26A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12000</w:t>
            </w:r>
          </w:p>
        </w:tc>
        <w:tc>
          <w:tcPr>
            <w:tcW w:w="1505" w:type="dxa"/>
            <w:vAlign w:val="center"/>
          </w:tcPr>
          <w:p w14:paraId="120735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946" w:type="dxa"/>
            <w:vAlign w:val="center"/>
          </w:tcPr>
          <w:p w14:paraId="72F704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701" w:type="dxa"/>
            <w:vAlign w:val="center"/>
          </w:tcPr>
          <w:p w14:paraId="60CF36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r>
      <w:tr w14:paraId="0F77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5" w:type="dxa"/>
            <w:vAlign w:val="center"/>
          </w:tcPr>
          <w:p w14:paraId="5FD6F09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521" w:type="dxa"/>
            <w:vAlign w:val="center"/>
          </w:tcPr>
          <w:p w14:paraId="761FBE3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泥浆处理</w:t>
            </w:r>
          </w:p>
        </w:tc>
        <w:tc>
          <w:tcPr>
            <w:tcW w:w="1986" w:type="dxa"/>
            <w:vAlign w:val="center"/>
          </w:tcPr>
          <w:p w14:paraId="30BA575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m</w:t>
            </w:r>
            <w:r>
              <w:rPr>
                <w:rFonts w:hint="eastAsia" w:ascii="仿宋" w:hAnsi="仿宋" w:eastAsia="仿宋" w:cs="仿宋"/>
                <w:color w:val="auto"/>
                <w:sz w:val="24"/>
                <w:szCs w:val="24"/>
                <w:vertAlign w:val="superscript"/>
                <w:lang w:val="en-US" w:eastAsia="zh-CN"/>
              </w:rPr>
              <w:t>3</w:t>
            </w:r>
          </w:p>
        </w:tc>
        <w:tc>
          <w:tcPr>
            <w:tcW w:w="1230" w:type="dxa"/>
            <w:vAlign w:val="center"/>
          </w:tcPr>
          <w:p w14:paraId="59DFD0F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4500</w:t>
            </w:r>
          </w:p>
        </w:tc>
        <w:tc>
          <w:tcPr>
            <w:tcW w:w="1505" w:type="dxa"/>
            <w:vAlign w:val="center"/>
          </w:tcPr>
          <w:p w14:paraId="21D7C3E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946" w:type="dxa"/>
            <w:vAlign w:val="center"/>
          </w:tcPr>
          <w:p w14:paraId="3B2A6E6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701" w:type="dxa"/>
            <w:vAlign w:val="center"/>
          </w:tcPr>
          <w:p w14:paraId="1901F53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拌和硬化处理</w:t>
            </w:r>
          </w:p>
        </w:tc>
      </w:tr>
      <w:tr w14:paraId="04B2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5" w:type="dxa"/>
            <w:vAlign w:val="center"/>
          </w:tcPr>
          <w:p w14:paraId="7F35BD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521" w:type="dxa"/>
            <w:vAlign w:val="center"/>
          </w:tcPr>
          <w:p w14:paraId="1A475C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洗车池砌筑</w:t>
            </w:r>
          </w:p>
        </w:tc>
        <w:tc>
          <w:tcPr>
            <w:tcW w:w="1986" w:type="dxa"/>
            <w:vAlign w:val="center"/>
          </w:tcPr>
          <w:p w14:paraId="104902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w:t>
            </w:r>
          </w:p>
        </w:tc>
        <w:tc>
          <w:tcPr>
            <w:tcW w:w="1230" w:type="dxa"/>
            <w:vAlign w:val="center"/>
          </w:tcPr>
          <w:p w14:paraId="6CC4A4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505" w:type="dxa"/>
            <w:vAlign w:val="center"/>
          </w:tcPr>
          <w:p w14:paraId="5F96A5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946" w:type="dxa"/>
            <w:vAlign w:val="center"/>
          </w:tcPr>
          <w:p w14:paraId="0AB768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701" w:type="dxa"/>
            <w:vAlign w:val="center"/>
          </w:tcPr>
          <w:p w14:paraId="47A56C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r w14:paraId="7583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5" w:type="dxa"/>
            <w:vAlign w:val="center"/>
          </w:tcPr>
          <w:p w14:paraId="5DDD6E3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521" w:type="dxa"/>
            <w:vAlign w:val="center"/>
          </w:tcPr>
          <w:p w14:paraId="525EA6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杂工</w:t>
            </w:r>
          </w:p>
        </w:tc>
        <w:tc>
          <w:tcPr>
            <w:tcW w:w="1986" w:type="dxa"/>
            <w:vAlign w:val="center"/>
          </w:tcPr>
          <w:p w14:paraId="23C281D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人.工</w:t>
            </w:r>
          </w:p>
        </w:tc>
        <w:tc>
          <w:tcPr>
            <w:tcW w:w="1230" w:type="dxa"/>
            <w:vAlign w:val="center"/>
          </w:tcPr>
          <w:p w14:paraId="7F7D95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450</w:t>
            </w:r>
          </w:p>
        </w:tc>
        <w:tc>
          <w:tcPr>
            <w:tcW w:w="1505" w:type="dxa"/>
            <w:vAlign w:val="center"/>
          </w:tcPr>
          <w:p w14:paraId="1141941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946" w:type="dxa"/>
            <w:vAlign w:val="center"/>
          </w:tcPr>
          <w:p w14:paraId="4B0308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701" w:type="dxa"/>
            <w:vAlign w:val="center"/>
          </w:tcPr>
          <w:p w14:paraId="763557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道路清扫、辅助等</w:t>
            </w:r>
          </w:p>
        </w:tc>
      </w:tr>
      <w:tr w14:paraId="1DC8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5" w:type="dxa"/>
            <w:vAlign w:val="center"/>
          </w:tcPr>
          <w:p w14:paraId="0B84CC0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521" w:type="dxa"/>
            <w:vAlign w:val="center"/>
          </w:tcPr>
          <w:p w14:paraId="1A199519">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p>
        </w:tc>
        <w:tc>
          <w:tcPr>
            <w:tcW w:w="1986" w:type="dxa"/>
            <w:vAlign w:val="center"/>
          </w:tcPr>
          <w:p w14:paraId="50DCBDDF">
            <w:pPr>
              <w:keepNext w:val="0"/>
              <w:keepLines w:val="0"/>
              <w:widowControl/>
              <w:suppressLineNumbers w:val="0"/>
              <w:jc w:val="center"/>
              <w:textAlignment w:val="center"/>
              <w:rPr>
                <w:rFonts w:hint="eastAsia" w:ascii="仿宋" w:hAnsi="仿宋" w:eastAsia="仿宋" w:cs="仿宋"/>
                <w:snapToGrid w:val="0"/>
                <w:color w:val="auto"/>
                <w:sz w:val="20"/>
                <w:szCs w:val="20"/>
                <w:lang w:val="en-US" w:eastAsia="zh-CN" w:bidi="ar-SA"/>
              </w:rPr>
            </w:pPr>
          </w:p>
        </w:tc>
        <w:tc>
          <w:tcPr>
            <w:tcW w:w="1230" w:type="dxa"/>
            <w:vAlign w:val="center"/>
          </w:tcPr>
          <w:p w14:paraId="7DB37807">
            <w:pPr>
              <w:keepNext w:val="0"/>
              <w:keepLines w:val="0"/>
              <w:widowControl/>
              <w:suppressLineNumbers w:val="0"/>
              <w:jc w:val="center"/>
              <w:textAlignment w:val="center"/>
              <w:rPr>
                <w:rFonts w:hint="eastAsia" w:ascii="仿宋" w:hAnsi="仿宋" w:eastAsia="仿宋" w:cs="仿宋"/>
                <w:snapToGrid w:val="0"/>
                <w:color w:val="auto"/>
                <w:kern w:val="0"/>
                <w:sz w:val="24"/>
                <w:szCs w:val="24"/>
                <w:lang w:val="en-US" w:eastAsia="zh-CN" w:bidi="ar-SA"/>
              </w:rPr>
            </w:pPr>
          </w:p>
        </w:tc>
        <w:tc>
          <w:tcPr>
            <w:tcW w:w="1505" w:type="dxa"/>
            <w:vAlign w:val="center"/>
          </w:tcPr>
          <w:p w14:paraId="22642BF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946" w:type="dxa"/>
            <w:vAlign w:val="center"/>
          </w:tcPr>
          <w:p w14:paraId="65F4C34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701" w:type="dxa"/>
            <w:vAlign w:val="center"/>
          </w:tcPr>
          <w:p w14:paraId="703CD8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r w14:paraId="4F88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35" w:type="dxa"/>
            <w:vAlign w:val="center"/>
          </w:tcPr>
          <w:p w14:paraId="719EBB6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w:t>
            </w:r>
          </w:p>
        </w:tc>
        <w:tc>
          <w:tcPr>
            <w:tcW w:w="6242" w:type="dxa"/>
            <w:gridSpan w:val="4"/>
            <w:vAlign w:val="center"/>
          </w:tcPr>
          <w:p w14:paraId="68ED66C7">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人民币（大写）：</w:t>
            </w:r>
          </w:p>
        </w:tc>
        <w:tc>
          <w:tcPr>
            <w:tcW w:w="946" w:type="dxa"/>
            <w:vAlign w:val="center"/>
          </w:tcPr>
          <w:p w14:paraId="77AF326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color w:val="auto"/>
                <w:sz w:val="24"/>
                <w:szCs w:val="24"/>
                <w:vertAlign w:val="baseline"/>
                <w:lang w:val="en-US" w:eastAsia="zh-CN"/>
              </w:rPr>
            </w:pPr>
          </w:p>
        </w:tc>
        <w:tc>
          <w:tcPr>
            <w:tcW w:w="1701" w:type="dxa"/>
            <w:vAlign w:val="center"/>
          </w:tcPr>
          <w:p w14:paraId="14CB800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color w:val="auto"/>
                <w:sz w:val="24"/>
                <w:szCs w:val="24"/>
                <w:vertAlign w:val="baseline"/>
                <w:lang w:val="en-US" w:eastAsia="zh-CN"/>
              </w:rPr>
            </w:pPr>
          </w:p>
        </w:tc>
      </w:tr>
    </w:tbl>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3</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rPr>
        <w:t>％）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7B7E133F">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劳务内容结束、人员退场后，双方及时办理结算手续，结算手续完成后支付审核金额的60%劳务款。</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50B51D1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691E1B1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0574B42B">
      <w:pPr>
        <w:pStyle w:val="16"/>
        <w:autoSpaceDE/>
        <w:autoSpaceDN/>
        <w:adjustRightInd/>
        <w:spacing w:line="560" w:lineRule="exact"/>
        <w:rPr>
          <w:rFonts w:hint="eastAsia" w:ascii="仿宋" w:hAnsi="仿宋" w:eastAsia="仿宋" w:cs="仿宋"/>
          <w:sz w:val="32"/>
          <w:szCs w:val="32"/>
        </w:rPr>
      </w:pPr>
      <w:r>
        <w:rPr>
          <w:rFonts w:hint="eastAsia" w:ascii="仿宋" w:hAnsi="仿宋" w:eastAsia="仿宋" w:cs="仿宋"/>
          <w:kern w:val="2"/>
          <w:szCs w:val="24"/>
        </w:rPr>
        <w:t>法定代表：（签字）</w:t>
      </w:r>
    </w:p>
    <w:p w14:paraId="202FE8F4">
      <w:pPr>
        <w:pStyle w:val="8"/>
        <w:overflowPunct w:val="0"/>
        <w:ind w:left="90" w:right="3197"/>
        <w:jc w:val="center"/>
        <w:rPr>
          <w:rFonts w:hint="eastAsia" w:ascii="仿宋" w:hAnsi="仿宋" w:eastAsia="仿宋" w:cs="仿宋"/>
          <w:sz w:val="36"/>
          <w:szCs w:val="36"/>
        </w:rPr>
      </w:pPr>
    </w:p>
    <w:p w14:paraId="5D904A78">
      <w:pPr>
        <w:rPr>
          <w:rFonts w:hint="eastAsia" w:ascii="仿宋" w:hAnsi="仿宋" w:eastAsia="仿宋" w:cs="仿宋"/>
          <w:sz w:val="36"/>
          <w:szCs w:val="36"/>
        </w:rPr>
      </w:pPr>
    </w:p>
    <w:p w14:paraId="23B6A1FF"/>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7A70BD"/>
    <w:rsid w:val="070F413F"/>
    <w:rsid w:val="07AB1E2E"/>
    <w:rsid w:val="087F780C"/>
    <w:rsid w:val="08E416D4"/>
    <w:rsid w:val="0AAB7760"/>
    <w:rsid w:val="0AEC0884"/>
    <w:rsid w:val="0C4A0131"/>
    <w:rsid w:val="0C6E60F3"/>
    <w:rsid w:val="0F401AF2"/>
    <w:rsid w:val="0FA77648"/>
    <w:rsid w:val="0FAE796B"/>
    <w:rsid w:val="10341E1C"/>
    <w:rsid w:val="123F1EBA"/>
    <w:rsid w:val="15A63C3B"/>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D845DED"/>
    <w:rsid w:val="2DDF0676"/>
    <w:rsid w:val="2F5A7DDB"/>
    <w:rsid w:val="316D4FA0"/>
    <w:rsid w:val="335162AF"/>
    <w:rsid w:val="356B658D"/>
    <w:rsid w:val="37936580"/>
    <w:rsid w:val="3D9A41C5"/>
    <w:rsid w:val="42627CBD"/>
    <w:rsid w:val="445C1CEB"/>
    <w:rsid w:val="44880E05"/>
    <w:rsid w:val="45482758"/>
    <w:rsid w:val="4732546E"/>
    <w:rsid w:val="477927AF"/>
    <w:rsid w:val="48A935D7"/>
    <w:rsid w:val="48BD520B"/>
    <w:rsid w:val="4B72052F"/>
    <w:rsid w:val="4E265601"/>
    <w:rsid w:val="4ECF5C98"/>
    <w:rsid w:val="4F644633"/>
    <w:rsid w:val="5167040A"/>
    <w:rsid w:val="51FC24F0"/>
    <w:rsid w:val="52F8765C"/>
    <w:rsid w:val="54843081"/>
    <w:rsid w:val="56F664B8"/>
    <w:rsid w:val="595875ED"/>
    <w:rsid w:val="5A435F01"/>
    <w:rsid w:val="5AD94D1B"/>
    <w:rsid w:val="5B156152"/>
    <w:rsid w:val="5B2C70DF"/>
    <w:rsid w:val="5B745BFD"/>
    <w:rsid w:val="5BB97AB4"/>
    <w:rsid w:val="5C971D9E"/>
    <w:rsid w:val="5DB15728"/>
    <w:rsid w:val="5FDE0E85"/>
    <w:rsid w:val="60DD5FF3"/>
    <w:rsid w:val="61AD3C17"/>
    <w:rsid w:val="631D6B7A"/>
    <w:rsid w:val="6468651B"/>
    <w:rsid w:val="659155FE"/>
    <w:rsid w:val="66974E96"/>
    <w:rsid w:val="669D7EC6"/>
    <w:rsid w:val="66A17AC3"/>
    <w:rsid w:val="68633281"/>
    <w:rsid w:val="687E5F0B"/>
    <w:rsid w:val="6C2E02C7"/>
    <w:rsid w:val="6C6E0447"/>
    <w:rsid w:val="6D7C6B93"/>
    <w:rsid w:val="6DEC2B17"/>
    <w:rsid w:val="709B37D5"/>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2373</Words>
  <Characters>2505</Characters>
  <Lines>0</Lines>
  <Paragraphs>0</Paragraphs>
  <TotalTime>4</TotalTime>
  <ScaleCrop>false</ScaleCrop>
  <LinksUpToDate>false</LinksUpToDate>
  <CharactersWithSpaces>2918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2024-11-15T08:17:02Z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6A69B11BA5B34DAEA5FB2546FDCB3DF0_13</vt:lpwstr>
  </property>
</Properties>
</file>