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pStyle w:val="11"/>
        <w:jc w:val="center"/>
        <w:rPr>
          <w:rFonts w:hint="eastAsia"/>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我公司拟进行哈汽重燃及核电装备生产制造基地项目一期工程总承包（EPC）工程桩基及土方工程项目</w:t>
      </w:r>
      <w:r>
        <w:rPr>
          <w:rFonts w:hint="eastAsia" w:ascii="仿宋" w:hAnsi="仿宋" w:eastAsia="仿宋" w:cs="仿宋"/>
          <w:snapToGrid/>
          <w:color w:val="333333"/>
          <w:sz w:val="28"/>
          <w:szCs w:val="28"/>
          <w:lang w:val="en-US" w:eastAsia="zh-CN"/>
        </w:rPr>
        <w:t>挖机租赁竞争谈判</w:t>
      </w:r>
      <w:r>
        <w:rPr>
          <w:rFonts w:hint="eastAsia" w:ascii="仿宋" w:hAnsi="仿宋" w:eastAsia="仿宋" w:cs="仿宋"/>
          <w:snapToGrid/>
          <w:color w:val="333333"/>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采购编号</w:t>
      </w:r>
      <w:r>
        <w:rPr>
          <w:rFonts w:hint="eastAsia" w:ascii="仿宋" w:hAnsi="仿宋" w:eastAsia="仿宋" w:cs="仿宋"/>
          <w:snapToGrid/>
          <w:color w:val="333333"/>
          <w:sz w:val="28"/>
          <w:szCs w:val="28"/>
          <w:highlight w:val="none"/>
          <w:lang w:eastAsia="zh-CN"/>
        </w:rPr>
        <w:t>：</w:t>
      </w:r>
      <w:r>
        <w:rPr>
          <w:rFonts w:hint="eastAsia" w:ascii="仿宋" w:hAnsi="仿宋" w:eastAsia="仿宋" w:cs="仿宋"/>
          <w:snapToGrid/>
          <w:color w:val="333333"/>
          <w:sz w:val="28"/>
          <w:szCs w:val="28"/>
          <w:highlight w:val="none"/>
          <w:lang w:val="en-US" w:eastAsia="zh-CN"/>
        </w:rPr>
        <w:t>ZMCJ07CG20243019</w:t>
      </w:r>
      <w:r>
        <w:rPr>
          <w:rFonts w:hint="eastAsia" w:ascii="仿宋" w:hAnsi="仿宋" w:eastAsia="仿宋" w:cs="仿宋"/>
          <w:snapToGrid/>
          <w:color w:val="auto"/>
          <w:sz w:val="28"/>
          <w:szCs w:val="28"/>
          <w:highlight w:val="none"/>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项目名称：哈汽重燃及核电装备生产制造基地项目一期工程总承包（EPC）工程桩基及土方工程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snapToGrid/>
          <w:color w:val="333333"/>
          <w:sz w:val="28"/>
          <w:szCs w:val="28"/>
          <w:lang w:val="en-US" w:eastAsia="zh-CN"/>
        </w:rPr>
        <w:t>挖机租赁2台4个月</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lang w:val="en-US" w:eastAsia="zh-CN"/>
        </w:rPr>
        <w:t>：镇江高新区</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19DFCDFF">
      <w:pPr>
        <w:pStyle w:val="11"/>
        <w:rPr>
          <w:rFonts w:hint="eastAsia" w:ascii="仿宋" w:hAnsi="仿宋" w:eastAsia="仿宋" w:cs="仿宋"/>
          <w:snapToGrid/>
          <w:color w:val="333333"/>
          <w:kern w:val="2"/>
          <w:sz w:val="28"/>
          <w:szCs w:val="28"/>
          <w:lang w:val="en-US" w:eastAsia="zh-CN" w:bidi="ar-SA"/>
        </w:rPr>
      </w:pPr>
      <w:r>
        <w:rPr>
          <w:rFonts w:hint="eastAsia" w:ascii="仿宋" w:hAnsi="仿宋" w:eastAsia="仿宋" w:cs="仿宋"/>
          <w:snapToGrid/>
          <w:color w:val="333333"/>
          <w:kern w:val="2"/>
          <w:sz w:val="28"/>
          <w:szCs w:val="28"/>
          <w:lang w:val="en-US" w:eastAsia="zh-CN" w:bidi="ar-SA"/>
        </w:rPr>
        <w:t>最高限</w:t>
      </w:r>
      <w:r>
        <w:rPr>
          <w:rFonts w:hint="eastAsia" w:ascii="仿宋" w:hAnsi="仿宋" w:eastAsia="仿宋" w:cs="仿宋"/>
          <w:snapToGrid/>
          <w:color w:val="333333"/>
          <w:kern w:val="2"/>
          <w:sz w:val="28"/>
          <w:szCs w:val="28"/>
          <w:highlight w:val="none"/>
          <w:lang w:val="en-US" w:eastAsia="zh-CN" w:bidi="ar-SA"/>
        </w:rPr>
        <w:t>价:25万元。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rPr>
        <w:t>参与投标企业必须是具有相应经营范围的独立法人单位，有合格有效的营业执照，并在人员、资金等方面具有相应的实力。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w:t>
      </w:r>
      <w:r>
        <w:rPr>
          <w:rFonts w:hint="eastAsia" w:ascii="仿宋" w:hAnsi="仿宋" w:eastAsia="仿宋" w:cs="仿宋"/>
          <w:snapToGrid/>
          <w:color w:val="333333"/>
          <w:sz w:val="28"/>
          <w:szCs w:val="28"/>
          <w:highlight w:val="none"/>
        </w:rPr>
        <w:t>于202</w:t>
      </w:r>
      <w:r>
        <w:rPr>
          <w:rFonts w:hint="eastAsia" w:ascii="仿宋" w:hAnsi="仿宋" w:eastAsia="仿宋" w:cs="仿宋"/>
          <w:snapToGrid/>
          <w:color w:val="333333"/>
          <w:sz w:val="28"/>
          <w:szCs w:val="28"/>
          <w:highlight w:val="none"/>
          <w:lang w:val="en-US" w:eastAsia="zh-CN"/>
        </w:rPr>
        <w:t>4</w:t>
      </w:r>
      <w:r>
        <w:rPr>
          <w:rFonts w:hint="eastAsia" w:ascii="仿宋" w:hAnsi="仿宋" w:eastAsia="仿宋" w:cs="仿宋"/>
          <w:snapToGrid/>
          <w:color w:val="333333"/>
          <w:sz w:val="28"/>
          <w:szCs w:val="28"/>
          <w:highlight w:val="none"/>
        </w:rPr>
        <w:t>年</w:t>
      </w:r>
      <w:r>
        <w:rPr>
          <w:rFonts w:hint="eastAsia" w:ascii="仿宋" w:hAnsi="仿宋" w:eastAsia="仿宋" w:cs="仿宋"/>
          <w:snapToGrid/>
          <w:color w:val="333333"/>
          <w:sz w:val="28"/>
          <w:szCs w:val="28"/>
          <w:highlight w:val="none"/>
          <w:lang w:val="en-US" w:eastAsia="zh-CN"/>
        </w:rPr>
        <w:t>11</w:t>
      </w:r>
      <w:r>
        <w:rPr>
          <w:rFonts w:hint="eastAsia" w:ascii="仿宋" w:hAnsi="仿宋" w:eastAsia="仿宋" w:cs="仿宋"/>
          <w:snapToGrid/>
          <w:color w:val="333333"/>
          <w:sz w:val="28"/>
          <w:szCs w:val="28"/>
          <w:highlight w:val="none"/>
        </w:rPr>
        <w:t>月</w:t>
      </w:r>
      <w:r>
        <w:rPr>
          <w:rFonts w:hint="eastAsia" w:ascii="仿宋" w:hAnsi="仿宋" w:eastAsia="仿宋" w:cs="仿宋"/>
          <w:snapToGrid/>
          <w:color w:val="333333"/>
          <w:sz w:val="28"/>
          <w:szCs w:val="28"/>
          <w:highlight w:val="none"/>
          <w:lang w:val="en-US" w:eastAsia="zh-CN"/>
        </w:rPr>
        <w:t>21</w:t>
      </w:r>
      <w:r>
        <w:rPr>
          <w:rFonts w:hint="eastAsia" w:ascii="仿宋" w:hAnsi="仿宋" w:eastAsia="仿宋" w:cs="仿宋"/>
          <w:snapToGrid/>
          <w:color w:val="333333"/>
          <w:sz w:val="28"/>
          <w:szCs w:val="28"/>
          <w:highlight w:val="none"/>
        </w:rPr>
        <w:t>日</w:t>
      </w:r>
      <w:r>
        <w:rPr>
          <w:rFonts w:hint="eastAsia" w:ascii="仿宋" w:hAnsi="仿宋" w:eastAsia="仿宋" w:cs="仿宋"/>
          <w:snapToGrid/>
          <w:color w:val="333333"/>
          <w:sz w:val="28"/>
          <w:szCs w:val="28"/>
          <w:highlight w:val="none"/>
          <w:lang w:eastAsia="zh-CN"/>
        </w:rPr>
        <w:t>上</w:t>
      </w:r>
      <w:r>
        <w:rPr>
          <w:rFonts w:hint="eastAsia" w:ascii="仿宋" w:hAnsi="仿宋" w:eastAsia="仿宋" w:cs="仿宋"/>
          <w:snapToGrid/>
          <w:color w:val="333333"/>
          <w:sz w:val="28"/>
          <w:szCs w:val="28"/>
          <w:lang w:eastAsia="zh-CN"/>
        </w:rPr>
        <w:t>午10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地址：江苏省南京市栖霞区</w:t>
      </w:r>
      <w:r>
        <w:rPr>
          <w:rFonts w:hint="eastAsia" w:ascii="仿宋" w:hAnsi="仿宋" w:eastAsia="仿宋" w:cs="仿宋"/>
          <w:snapToGrid/>
          <w:color w:val="333333"/>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邮箱：</w:t>
      </w:r>
      <w:bookmarkEnd w:id="0"/>
      <w:r>
        <w:rPr>
          <w:rFonts w:hint="eastAsia" w:ascii="仿宋" w:hAnsi="仿宋" w:eastAsia="仿宋" w:cs="仿宋"/>
          <w:snapToGrid/>
          <w:color w:val="333333"/>
          <w:sz w:val="28"/>
          <w:szCs w:val="28"/>
          <w:lang w:eastAsia="zh-CN"/>
        </w:rPr>
        <w:t>cjgscg@163.com</w:t>
      </w:r>
    </w:p>
    <w:p w14:paraId="73DBC61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2B91200D">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47E0C2B2">
      <w:pPr>
        <w:pStyle w:val="2"/>
        <w:tabs>
          <w:tab w:val="left" w:pos="2708"/>
          <w:tab w:val="center" w:pos="4213"/>
        </w:tabs>
        <w:spacing w:line="360" w:lineRule="auto"/>
        <w:jc w:val="center"/>
        <w:rPr>
          <w:rFonts w:hint="eastAsia" w:ascii="仿宋" w:hAnsi="仿宋" w:eastAsia="仿宋" w:cs="仿宋"/>
          <w:sz w:val="28"/>
          <w:szCs w:val="28"/>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15</w:t>
      </w:r>
      <w:r>
        <w:rPr>
          <w:rFonts w:hint="eastAsia" w:ascii="仿宋" w:hAnsi="仿宋" w:eastAsia="仿宋" w:cs="仿宋"/>
          <w:b w:val="0"/>
          <w:snapToGrid/>
          <w:sz w:val="28"/>
          <w:szCs w:val="28"/>
          <w:lang w:eastAsia="zh-CN"/>
        </w:rPr>
        <w:t>日</w:t>
      </w:r>
    </w:p>
    <w:p w14:paraId="366AC93B">
      <w:pPr>
        <w:pStyle w:val="4"/>
        <w:spacing w:after="0" w:line="360" w:lineRule="auto"/>
        <w:ind w:left="0" w:firstLine="0"/>
        <w:jc w:val="both"/>
        <w:rPr>
          <w:rFonts w:hint="eastAsia" w:ascii="仿宋" w:hAnsi="仿宋" w:eastAsia="仿宋" w:cs="仿宋"/>
          <w:szCs w:val="28"/>
        </w:rPr>
      </w:pPr>
    </w:p>
    <w:p w14:paraId="3D9E5481">
      <w:pPr>
        <w:pStyle w:val="4"/>
        <w:spacing w:after="0" w:line="360" w:lineRule="auto"/>
        <w:ind w:left="0" w:firstLine="0"/>
        <w:jc w:val="both"/>
        <w:rPr>
          <w:rFonts w:hint="eastAsia" w:ascii="仿宋" w:hAnsi="仿宋" w:eastAsia="仿宋" w:cs="仿宋"/>
          <w:szCs w:val="28"/>
        </w:rPr>
      </w:pPr>
    </w:p>
    <w:p w14:paraId="04949BDB">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5A730B36">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7B17E47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682DAEA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lang w:eastAsia="zh-CN"/>
        </w:rPr>
      </w:pPr>
    </w:p>
    <w:p w14:paraId="50196751">
      <w:pPr>
        <w:pStyle w:val="4"/>
        <w:spacing w:after="0" w:line="360" w:lineRule="auto"/>
        <w:ind w:left="0" w:firstLine="0"/>
        <w:jc w:val="both"/>
        <w:rPr>
          <w:rFonts w:hint="eastAsia"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62A4C37F">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kern w:val="2"/>
          <w:sz w:val="48"/>
          <w:szCs w:val="48"/>
          <w:lang w:val="en-US" w:eastAsia="zh-CN" w:bidi="ar-SA"/>
        </w:rPr>
        <w:t>哈汽重燃及核电装备生产制造基地项目一期工程总承包（EPC）工程桩基及土方工程项目项</w:t>
      </w:r>
      <w:r>
        <w:rPr>
          <w:rFonts w:hint="eastAsia" w:ascii="仿宋" w:hAnsi="仿宋" w:eastAsia="仿宋" w:cs="仿宋"/>
          <w:b w:val="0"/>
          <w:bCs w:val="0"/>
          <w:sz w:val="48"/>
          <w:szCs w:val="48"/>
          <w:lang w:eastAsia="zh-CN"/>
        </w:rPr>
        <w:t>目</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kern w:val="2"/>
          <w:sz w:val="48"/>
          <w:szCs w:val="48"/>
          <w:lang w:val="en-US" w:eastAsia="zh-CN" w:bidi="ar-SA"/>
        </w:rPr>
        <w:t>挖机租赁</w:t>
      </w:r>
      <w:r>
        <w:rPr>
          <w:rFonts w:hint="eastAsia" w:ascii="仿宋" w:hAnsi="仿宋" w:eastAsia="仿宋" w:cs="仿宋"/>
          <w:b w:val="0"/>
          <w:bCs w:val="0"/>
          <w:sz w:val="48"/>
          <w:szCs w:val="48"/>
          <w:lang w:eastAsia="zh-CN"/>
        </w:rPr>
        <w:t>响应</w:t>
      </w:r>
      <w:r>
        <w:rPr>
          <w:rFonts w:hint="eastAsia" w:ascii="仿宋" w:hAnsi="仿宋" w:eastAsia="仿宋" w:cs="仿宋"/>
          <w:b w:val="0"/>
          <w:bCs w:val="0"/>
          <w:sz w:val="48"/>
          <w:szCs w:val="48"/>
        </w:rPr>
        <w:t>文件</w:t>
      </w:r>
    </w:p>
    <w:p w14:paraId="24A7D801">
      <w:pPr>
        <w:pStyle w:val="5"/>
        <w:jc w:val="center"/>
        <w:rPr>
          <w:rFonts w:hint="eastAsia" w:ascii="仿宋" w:hAnsi="仿宋" w:eastAsia="仿宋" w:cs="仿宋"/>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ZMCJ07CG2024301</w:t>
      </w:r>
      <w:r>
        <w:rPr>
          <w:rFonts w:hint="eastAsia" w:ascii="仿宋" w:hAnsi="仿宋" w:eastAsia="仿宋" w:cs="仿宋"/>
          <w:bCs/>
          <w:sz w:val="32"/>
          <w:szCs w:val="32"/>
          <w:highlight w:val="none"/>
          <w:lang w:val="en-US" w:eastAsia="zh-CN"/>
        </w:rPr>
        <w:t>9</w:t>
      </w:r>
      <w:r>
        <w:rPr>
          <w:rFonts w:hint="eastAsia" w:ascii="仿宋" w:hAnsi="仿宋" w:eastAsia="仿宋" w:cs="仿宋"/>
          <w:bCs/>
          <w:sz w:val="32"/>
          <w:szCs w:val="32"/>
        </w:rPr>
        <w:t xml:space="preserve">  </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154990">
      <w:pPr>
        <w:pStyle w:val="4"/>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53A51FDB">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579BF6A9">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3D5DE5A7">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哈汽重燃及核电装备生产制造基地项目一期工程总承包（EPC）工程桩基及土方工程</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镇江高新区</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78"/>
        <w:gridCol w:w="1512"/>
        <w:gridCol w:w="819"/>
        <w:gridCol w:w="1301"/>
        <w:gridCol w:w="1579"/>
        <w:gridCol w:w="136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9"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578"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512"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规格型号</w:t>
            </w:r>
          </w:p>
        </w:tc>
        <w:tc>
          <w:tcPr>
            <w:tcW w:w="819"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301"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含税单价(元/月)</w:t>
            </w:r>
          </w:p>
        </w:tc>
        <w:tc>
          <w:tcPr>
            <w:tcW w:w="1579"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136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79"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78"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挖机租赁</w:t>
            </w:r>
          </w:p>
        </w:tc>
        <w:tc>
          <w:tcPr>
            <w:tcW w:w="1512" w:type="dxa"/>
            <w:vAlign w:val="center"/>
          </w:tcPr>
          <w:p w14:paraId="0D7317AE">
            <w:pPr>
              <w:keepNext w:val="0"/>
              <w:keepLines w:val="0"/>
              <w:widowControl/>
              <w:suppressLineNumbers w:val="0"/>
              <w:jc w:val="center"/>
              <w:textAlignment w:val="center"/>
              <w:rPr>
                <w:rFonts w:hint="default" w:ascii="仿宋" w:hAnsi="仿宋" w:eastAsia="仿宋" w:cs="仿宋"/>
                <w:snapToGrid w:val="0"/>
                <w:color w:val="000000"/>
                <w:kern w:val="0"/>
                <w:sz w:val="20"/>
                <w:szCs w:val="20"/>
                <w:lang w:val="en-US" w:eastAsia="zh-CN" w:bidi="ar-SA"/>
              </w:rPr>
            </w:pPr>
          </w:p>
        </w:tc>
        <w:tc>
          <w:tcPr>
            <w:tcW w:w="819" w:type="dxa"/>
            <w:vAlign w:val="center"/>
          </w:tcPr>
          <w:p w14:paraId="1DF94DD7">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eastAsia" w:ascii="仿宋" w:hAnsi="仿宋" w:eastAsia="仿宋" w:cs="仿宋"/>
                <w:i w:val="0"/>
                <w:snapToGrid w:val="0"/>
                <w:color w:val="000000"/>
                <w:kern w:val="0"/>
                <w:sz w:val="20"/>
                <w:szCs w:val="20"/>
                <w:u w:val="none"/>
                <w:lang w:val="en-US" w:eastAsia="zh-CN" w:bidi="ar"/>
              </w:rPr>
              <w:t>2台4个月</w:t>
            </w:r>
          </w:p>
        </w:tc>
        <w:tc>
          <w:tcPr>
            <w:tcW w:w="1301" w:type="dxa"/>
            <w:vAlign w:val="center"/>
          </w:tcPr>
          <w:p w14:paraId="297AAD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79" w:type="dxa"/>
            <w:vAlign w:val="center"/>
          </w:tcPr>
          <w:p w14:paraId="1560A6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68"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含3%专票</w:t>
            </w:r>
          </w:p>
        </w:tc>
      </w:tr>
      <w:tr w14:paraId="2DA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79" w:type="dxa"/>
            <w:vAlign w:val="center"/>
          </w:tcPr>
          <w:p w14:paraId="21025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1578" w:type="dxa"/>
            <w:vAlign w:val="center"/>
          </w:tcPr>
          <w:p w14:paraId="721B492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12" w:type="dxa"/>
            <w:vAlign w:val="center"/>
          </w:tcPr>
          <w:p w14:paraId="10FFAAD9">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p>
        </w:tc>
        <w:tc>
          <w:tcPr>
            <w:tcW w:w="819" w:type="dxa"/>
            <w:vAlign w:val="center"/>
          </w:tcPr>
          <w:p w14:paraId="11AA207D">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p>
        </w:tc>
        <w:tc>
          <w:tcPr>
            <w:tcW w:w="1301" w:type="dxa"/>
            <w:vAlign w:val="center"/>
          </w:tcPr>
          <w:p w14:paraId="3A8C51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79" w:type="dxa"/>
            <w:vAlign w:val="center"/>
          </w:tcPr>
          <w:p w14:paraId="1E2419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68" w:type="dxa"/>
            <w:vAlign w:val="center"/>
          </w:tcPr>
          <w:p w14:paraId="12C2C5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20A439FB">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rPr>
        <w:t>％）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租赁结束、设备退场后，双方及时办理结算手续，结算手续完成后3个月内结清。</w:t>
      </w:r>
    </w:p>
    <w:p w14:paraId="50B51D1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47EF1619">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73705E80">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bookmarkStart w:id="1" w:name="_GoBack"/>
      <w:bookmarkEnd w:id="1"/>
    </w:p>
    <w:p w14:paraId="06B96372">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1DE325BB">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0574B42B">
      <w:pPr>
        <w:pStyle w:val="16"/>
        <w:autoSpaceDE/>
        <w:autoSpaceDN/>
        <w:adjustRightInd/>
        <w:spacing w:line="560" w:lineRule="exact"/>
        <w:rPr>
          <w:rFonts w:hint="eastAsia" w:ascii="仿宋" w:hAnsi="仿宋" w:eastAsia="仿宋" w:cs="仿宋"/>
          <w:sz w:val="32"/>
          <w:szCs w:val="32"/>
        </w:rPr>
      </w:pPr>
      <w:r>
        <w:rPr>
          <w:rFonts w:hint="eastAsia" w:ascii="仿宋" w:hAnsi="仿宋" w:eastAsia="仿宋" w:cs="仿宋"/>
          <w:kern w:val="2"/>
          <w:szCs w:val="24"/>
        </w:rPr>
        <w:t>法定代表：（签字）</w:t>
      </w:r>
    </w:p>
    <w:p w14:paraId="202FE8F4">
      <w:pPr>
        <w:pStyle w:val="3"/>
        <w:overflowPunct w:val="0"/>
        <w:ind w:left="90" w:right="3197"/>
        <w:jc w:val="center"/>
        <w:rPr>
          <w:rFonts w:hint="eastAsia" w:ascii="仿宋" w:hAnsi="仿宋" w:eastAsia="仿宋" w:cs="仿宋"/>
          <w:sz w:val="36"/>
          <w:szCs w:val="36"/>
        </w:rPr>
      </w:pPr>
    </w:p>
    <w:p w14:paraId="5D904A78">
      <w:pPr>
        <w:rPr>
          <w:rFonts w:hint="eastAsia" w:ascii="仿宋" w:hAnsi="仿宋" w:eastAsia="仿宋" w:cs="仿宋"/>
          <w:sz w:val="36"/>
          <w:szCs w:val="36"/>
        </w:rPr>
      </w:pPr>
    </w:p>
    <w:p w14:paraId="23B6A1FF"/>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374238F"/>
    <w:rsid w:val="0388243F"/>
    <w:rsid w:val="057A70BD"/>
    <w:rsid w:val="070F413F"/>
    <w:rsid w:val="07AB1E2E"/>
    <w:rsid w:val="087F780C"/>
    <w:rsid w:val="0AAB7760"/>
    <w:rsid w:val="0AEC0884"/>
    <w:rsid w:val="0C4A0131"/>
    <w:rsid w:val="0E0F0C99"/>
    <w:rsid w:val="0F401AF2"/>
    <w:rsid w:val="0FA77648"/>
    <w:rsid w:val="0FAE796B"/>
    <w:rsid w:val="10341E1C"/>
    <w:rsid w:val="123F1EBA"/>
    <w:rsid w:val="15A63C3B"/>
    <w:rsid w:val="1D9F5E03"/>
    <w:rsid w:val="1E214A6A"/>
    <w:rsid w:val="1F4106CB"/>
    <w:rsid w:val="200A3A0B"/>
    <w:rsid w:val="20CA1073"/>
    <w:rsid w:val="23BC4482"/>
    <w:rsid w:val="23E908CC"/>
    <w:rsid w:val="24E011DB"/>
    <w:rsid w:val="24F4487F"/>
    <w:rsid w:val="24FE78B3"/>
    <w:rsid w:val="263A7F64"/>
    <w:rsid w:val="26C97B93"/>
    <w:rsid w:val="27EC60E8"/>
    <w:rsid w:val="280A6006"/>
    <w:rsid w:val="2825262A"/>
    <w:rsid w:val="28375E5E"/>
    <w:rsid w:val="28F840BA"/>
    <w:rsid w:val="290336EA"/>
    <w:rsid w:val="29730423"/>
    <w:rsid w:val="2D845DED"/>
    <w:rsid w:val="2F5A7DDB"/>
    <w:rsid w:val="316D4FA0"/>
    <w:rsid w:val="335162AF"/>
    <w:rsid w:val="356B658D"/>
    <w:rsid w:val="37936580"/>
    <w:rsid w:val="3D9A41C5"/>
    <w:rsid w:val="42627CBD"/>
    <w:rsid w:val="445C1CEB"/>
    <w:rsid w:val="44880E05"/>
    <w:rsid w:val="45482758"/>
    <w:rsid w:val="4732546E"/>
    <w:rsid w:val="477927AF"/>
    <w:rsid w:val="48A935D7"/>
    <w:rsid w:val="48BD520B"/>
    <w:rsid w:val="4B72052F"/>
    <w:rsid w:val="4E265601"/>
    <w:rsid w:val="4ECF5C98"/>
    <w:rsid w:val="4F644633"/>
    <w:rsid w:val="5167040A"/>
    <w:rsid w:val="52F8765C"/>
    <w:rsid w:val="54843081"/>
    <w:rsid w:val="56F664B8"/>
    <w:rsid w:val="595875ED"/>
    <w:rsid w:val="5A435F01"/>
    <w:rsid w:val="5AD94D1B"/>
    <w:rsid w:val="5B156152"/>
    <w:rsid w:val="5B745BFD"/>
    <w:rsid w:val="5BB97AB4"/>
    <w:rsid w:val="5C971D9E"/>
    <w:rsid w:val="5DB15728"/>
    <w:rsid w:val="5FDE0E85"/>
    <w:rsid w:val="60DD5FF3"/>
    <w:rsid w:val="61AD3C17"/>
    <w:rsid w:val="631D6B7A"/>
    <w:rsid w:val="6468651B"/>
    <w:rsid w:val="659155FE"/>
    <w:rsid w:val="66974E96"/>
    <w:rsid w:val="669D7EC6"/>
    <w:rsid w:val="66A17AC3"/>
    <w:rsid w:val="68633281"/>
    <w:rsid w:val="687E5F0B"/>
    <w:rsid w:val="6C2E02C7"/>
    <w:rsid w:val="6C6E0447"/>
    <w:rsid w:val="6D7C6B93"/>
    <w:rsid w:val="6DEC2B17"/>
    <w:rsid w:val="709B37D5"/>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2269</Words>
  <Characters>2379</Characters>
  <Lines>0</Lines>
  <Paragraphs>0</Paragraphs>
  <TotalTime>15</TotalTime>
  <ScaleCrop>false</ScaleCrop>
  <LinksUpToDate>false</LinksUpToDate>
  <CharactersWithSpaces>2834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2024-11-15T07:31:38Z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46B58A9E40184F6897CFB1C2529D68FB_13</vt:lpwstr>
  </property>
</Properties>
</file>