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AF21E">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06C9237D">
      <w:pPr>
        <w:pStyle w:val="2"/>
        <w:jc w:val="center"/>
        <w:rPr>
          <w:rFonts w:hint="eastAsia"/>
        </w:rPr>
      </w:pPr>
    </w:p>
    <w:p w14:paraId="4F8E85EB">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我公司拟进行中储粮(汕尾)直属库有限公司仓储项目施工总承包二标段桩基工程项目</w:t>
      </w:r>
      <w:r>
        <w:rPr>
          <w:rFonts w:hint="eastAsia" w:ascii="仿宋" w:hAnsi="仿宋" w:eastAsia="仿宋" w:cs="仿宋"/>
          <w:snapToGrid/>
          <w:color w:val="auto"/>
          <w:sz w:val="28"/>
          <w:szCs w:val="28"/>
          <w:lang w:val="en-US" w:eastAsia="zh-CN"/>
        </w:rPr>
        <w:t>零星项目竞争谈判</w:t>
      </w:r>
      <w:r>
        <w:rPr>
          <w:rFonts w:hint="eastAsia" w:ascii="仿宋" w:hAnsi="仿宋" w:eastAsia="仿宋" w:cs="仿宋"/>
          <w:snapToGrid/>
          <w:color w:val="auto"/>
          <w:sz w:val="28"/>
          <w:szCs w:val="28"/>
          <w:lang w:eastAsia="zh-CN"/>
        </w:rPr>
        <w:t>采购。</w:t>
      </w:r>
    </w:p>
    <w:p w14:paraId="121DF9D4">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ZMCJ-LXCG-2024-ZJ-060</w:t>
      </w:r>
      <w:r>
        <w:rPr>
          <w:rFonts w:hint="eastAsia" w:ascii="仿宋" w:hAnsi="仿宋" w:eastAsia="仿宋" w:cs="仿宋"/>
          <w:snapToGrid/>
          <w:color w:val="auto"/>
          <w:sz w:val="28"/>
          <w:szCs w:val="28"/>
          <w:lang w:eastAsia="zh-CN"/>
        </w:rPr>
        <w:t>。</w:t>
      </w:r>
    </w:p>
    <w:p w14:paraId="1536048E">
      <w:pPr>
        <w:pStyle w:val="11"/>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007B6C3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项目名称：中储粮(汕尾)直属库有限公司仓储项目施工总承包二标段桩基工程</w:t>
      </w:r>
    </w:p>
    <w:p w14:paraId="1BF3A78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采购需求：</w:t>
      </w:r>
    </w:p>
    <w:p w14:paraId="77128626">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ZMCJ-LXCG-2024-ZJ-060</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lang w:val="en-US" w:eastAsia="zh-CN"/>
        </w:rPr>
        <w:t>预制桩PHC500AB120/500AB125，448m</w:t>
      </w:r>
    </w:p>
    <w:p w14:paraId="522BE6AE">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：广东省汕尾市</w:t>
      </w:r>
    </w:p>
    <w:p w14:paraId="68098F5C">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268FD162">
      <w:pPr>
        <w:pStyle w:val="11"/>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响应</w:t>
      </w:r>
      <w:r>
        <w:rPr>
          <w:rFonts w:hint="eastAsia" w:ascii="仿宋" w:hAnsi="仿宋" w:eastAsia="仿宋" w:cs="仿宋"/>
          <w:b/>
          <w:bCs/>
          <w:sz w:val="28"/>
          <w:szCs w:val="28"/>
        </w:rPr>
        <w:t>人的资格要求</w:t>
      </w:r>
    </w:p>
    <w:p w14:paraId="10083B65">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rPr>
        <w:t>企业必须是具有相应经营范围的独立法人单位，有合格有效的营业执照，并在人员、资金等方面具有相应的实力。</w:t>
      </w:r>
    </w:p>
    <w:p w14:paraId="2C528FD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38CDCD13">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w:t>
      </w:r>
      <w:r>
        <w:rPr>
          <w:rFonts w:hint="eastAsia" w:ascii="仿宋" w:hAnsi="仿宋" w:eastAsia="仿宋" w:cs="仿宋"/>
          <w:snapToGrid/>
          <w:color w:val="auto"/>
          <w:sz w:val="28"/>
          <w:szCs w:val="28"/>
          <w:lang w:val="en-US" w:eastAsia="zh-CN"/>
        </w:rPr>
        <w:t>报价</w:t>
      </w:r>
      <w:r>
        <w:rPr>
          <w:rFonts w:hint="eastAsia" w:ascii="仿宋" w:hAnsi="仿宋" w:eastAsia="仿宋" w:cs="仿宋"/>
          <w:snapToGrid/>
          <w:color w:val="auto"/>
          <w:sz w:val="28"/>
          <w:szCs w:val="28"/>
          <w:lang w:eastAsia="zh-CN"/>
        </w:rPr>
        <w:t>。</w:t>
      </w:r>
    </w:p>
    <w:p w14:paraId="2565C78A">
      <w:pPr>
        <w:kinsoku/>
        <w:autoSpaceDE/>
        <w:autoSpaceDN/>
        <w:adjustRightInd/>
        <w:snapToGrid/>
        <w:spacing w:line="360" w:lineRule="auto"/>
        <w:jc w:val="left"/>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5EC9CAEA">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凡有意参加者，请于202</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11</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25</w:t>
      </w:r>
      <w:r>
        <w:rPr>
          <w:rFonts w:hint="eastAsia" w:ascii="仿宋" w:hAnsi="仿宋" w:eastAsia="仿宋" w:cs="仿宋"/>
          <w:snapToGrid/>
          <w:color w:val="auto"/>
          <w:sz w:val="28"/>
          <w:szCs w:val="28"/>
          <w:lang w:eastAsia="zh-CN"/>
        </w:rPr>
        <w:t>日上午1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lang w:eastAsia="zh-CN"/>
        </w:rPr>
        <w:t>时前递交（或邮寄）。</w:t>
      </w:r>
    </w:p>
    <w:p w14:paraId="4E6F9D08">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val="en-US" w:eastAsia="zh-CN"/>
        </w:rPr>
        <w:t>报价</w:t>
      </w:r>
      <w:r>
        <w:rPr>
          <w:rFonts w:hint="eastAsia" w:ascii="仿宋" w:hAnsi="仿宋" w:eastAsia="仿宋" w:cs="仿宋"/>
          <w:b/>
          <w:bCs/>
          <w:sz w:val="28"/>
          <w:szCs w:val="28"/>
        </w:rPr>
        <w:t>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144E406D">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报价明细（必须加盖单位公章）</w:t>
      </w:r>
    </w:p>
    <w:p w14:paraId="196DCC3E">
      <w:pPr>
        <w:pStyle w:val="7"/>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3B02820C">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采购人：中煤长江基础建设有限公司</w:t>
      </w:r>
      <w:r>
        <w:rPr>
          <w:rFonts w:hint="eastAsia" w:ascii="仿宋" w:hAnsi="仿宋" w:eastAsia="仿宋" w:cs="仿宋"/>
          <w:snapToGrid/>
          <w:color w:val="auto"/>
          <w:sz w:val="28"/>
          <w:szCs w:val="28"/>
          <w:lang w:val="en-US" w:eastAsia="zh-CN"/>
        </w:rPr>
        <w:t>镇江分公司</w:t>
      </w:r>
    </w:p>
    <w:p w14:paraId="59A09F52">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地址：江苏省</w:t>
      </w:r>
      <w:r>
        <w:rPr>
          <w:rFonts w:hint="eastAsia" w:ascii="仿宋" w:hAnsi="仿宋" w:eastAsia="仿宋" w:cs="仿宋"/>
          <w:snapToGrid/>
          <w:color w:val="auto"/>
          <w:sz w:val="28"/>
          <w:szCs w:val="28"/>
          <w:lang w:val="en-US" w:eastAsia="zh-CN"/>
        </w:rPr>
        <w:t>润州区乔家门66号</w:t>
      </w:r>
    </w:p>
    <w:p w14:paraId="46689E77">
      <w:pPr>
        <w:kinsoku/>
        <w:autoSpaceDE/>
        <w:autoSpaceDN/>
        <w:adjustRightInd/>
        <w:snapToGrid/>
        <w:spacing w:line="360" w:lineRule="auto"/>
        <w:ind w:right="11" w:firstLine="560" w:firstLineChars="200"/>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联系人：</w:t>
      </w:r>
      <w:r>
        <w:rPr>
          <w:rFonts w:hint="eastAsia" w:ascii="仿宋" w:hAnsi="仿宋" w:eastAsia="仿宋" w:cs="仿宋"/>
          <w:snapToGrid/>
          <w:color w:val="auto"/>
          <w:sz w:val="28"/>
          <w:szCs w:val="28"/>
          <w:lang w:val="en-US" w:eastAsia="zh-CN"/>
        </w:rPr>
        <w:t>杜经理</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联系电话：</w:t>
      </w:r>
      <w:r>
        <w:rPr>
          <w:rFonts w:hint="eastAsia" w:ascii="仿宋" w:hAnsi="仿宋" w:eastAsia="仿宋" w:cs="仿宋"/>
          <w:snapToGrid/>
          <w:color w:val="auto"/>
          <w:sz w:val="28"/>
          <w:szCs w:val="28"/>
          <w:lang w:val="en-US" w:eastAsia="zh-CN"/>
        </w:rPr>
        <w:t>0511-88052816</w:t>
      </w:r>
    </w:p>
    <w:p w14:paraId="1D4F7AB5">
      <w:pPr>
        <w:pStyle w:val="2"/>
        <w:ind w:left="0" w:leftChars="0" w:firstLine="0" w:firstLineChars="0"/>
        <w:rPr>
          <w:rFonts w:hint="eastAsia"/>
          <w:lang w:eastAsia="zh-CN"/>
        </w:rPr>
      </w:pPr>
      <w:bookmarkStart w:id="0" w:name="_GoBack"/>
      <w:bookmarkEnd w:id="0"/>
    </w:p>
    <w:p w14:paraId="40645F33">
      <w:pPr>
        <w:rPr>
          <w:rFonts w:hint="eastAsia"/>
          <w:lang w:eastAsia="zh-CN"/>
        </w:rPr>
      </w:pPr>
    </w:p>
    <w:p w14:paraId="1DBACB8B">
      <w:pPr>
        <w:kinsoku/>
        <w:autoSpaceDE/>
        <w:autoSpaceDN/>
        <w:adjustRightInd/>
        <w:snapToGrid/>
        <w:spacing w:line="360" w:lineRule="auto"/>
        <w:ind w:right="12"/>
        <w:jc w:val="right"/>
        <w:textAlignment w:val="auto"/>
        <w:rPr>
          <w:rFonts w:hint="eastAsia" w:ascii="仿宋" w:hAnsi="仿宋" w:eastAsia="仿宋" w:cs="仿宋"/>
          <w:b w:val="0"/>
          <w:snapToGrid/>
          <w:color w:val="000000"/>
          <w:sz w:val="28"/>
          <w:szCs w:val="28"/>
          <w:lang w:val="en-US" w:eastAsia="zh-CN" w:bidi="ar-SA"/>
        </w:rPr>
      </w:pPr>
      <w:r>
        <w:rPr>
          <w:rFonts w:hint="eastAsia" w:ascii="仿宋" w:hAnsi="仿宋" w:eastAsia="仿宋" w:cs="仿宋"/>
          <w:b w:val="0"/>
          <w:snapToGrid/>
          <w:color w:val="000000"/>
          <w:sz w:val="28"/>
          <w:szCs w:val="28"/>
          <w:lang w:val="en-US" w:eastAsia="zh-CN" w:bidi="ar-SA"/>
        </w:rPr>
        <w:t>中煤长江基础建设有限公司</w:t>
      </w:r>
    </w:p>
    <w:p w14:paraId="76FF0D87">
      <w:pPr>
        <w:rPr>
          <w:rFonts w:hint="default" w:ascii="仿宋" w:hAnsi="仿宋" w:eastAsia="仿宋" w:cs="仿宋"/>
          <w:b w:val="0"/>
          <w:snapToGrid/>
          <w:sz w:val="28"/>
          <w:szCs w:val="28"/>
          <w:lang w:val="en-US" w:eastAsia="zh-CN"/>
        </w:rPr>
      </w:pPr>
      <w:r>
        <w:rPr>
          <w:rFonts w:hint="eastAsia" w:ascii="仿宋" w:hAnsi="仿宋" w:eastAsia="仿宋" w:cs="仿宋"/>
          <w:b w:val="0"/>
          <w:snapToGrid/>
          <w:sz w:val="28"/>
          <w:szCs w:val="28"/>
          <w:lang w:val="en-US" w:eastAsia="zh-CN"/>
        </w:rPr>
        <w:t xml:space="preserve">                                        2024年11月21日</w:t>
      </w:r>
    </w:p>
    <w:p w14:paraId="0DBA5CBE">
      <w:pPr>
        <w:rPr>
          <w:rFonts w:hint="eastAsia" w:ascii="仿宋" w:hAnsi="仿宋" w:eastAsia="仿宋" w:cs="仿宋"/>
          <w:b w:val="0"/>
          <w:snapToGrid/>
          <w:sz w:val="28"/>
          <w:szCs w:val="28"/>
          <w:lang w:val="en-US" w:eastAsia="zh-CN"/>
        </w:rPr>
      </w:pPr>
    </w:p>
    <w:p w14:paraId="19F9A71F">
      <w:pPr>
        <w:rPr>
          <w:rFonts w:hint="eastAsia" w:ascii="仿宋" w:hAnsi="仿宋" w:eastAsia="仿宋" w:cs="仿宋"/>
          <w:b w:val="0"/>
          <w:snapToGrid/>
          <w:sz w:val="28"/>
          <w:szCs w:val="28"/>
          <w:lang w:val="en-US" w:eastAsia="zh-CN"/>
        </w:rPr>
      </w:pPr>
    </w:p>
    <w:p w14:paraId="48361591">
      <w:pPr>
        <w:rPr>
          <w:rFonts w:hint="eastAsia" w:ascii="仿宋" w:hAnsi="仿宋" w:eastAsia="仿宋" w:cs="仿宋"/>
          <w:b w:val="0"/>
          <w:snapToGrid/>
          <w:sz w:val="28"/>
          <w:szCs w:val="28"/>
          <w:lang w:val="en-US" w:eastAsia="zh-CN"/>
        </w:rPr>
      </w:pPr>
    </w:p>
    <w:p w14:paraId="21908603">
      <w:pPr>
        <w:rPr>
          <w:rFonts w:hint="eastAsia" w:ascii="仿宋" w:hAnsi="仿宋" w:eastAsia="仿宋" w:cs="仿宋"/>
          <w:b w:val="0"/>
          <w:snapToGrid/>
          <w:sz w:val="28"/>
          <w:szCs w:val="28"/>
          <w:lang w:val="en-US" w:eastAsia="zh-CN"/>
        </w:rPr>
      </w:pPr>
    </w:p>
    <w:p w14:paraId="4D0D3F71">
      <w:pPr>
        <w:rPr>
          <w:rFonts w:hint="eastAsia" w:ascii="仿宋" w:hAnsi="仿宋" w:eastAsia="仿宋" w:cs="仿宋"/>
          <w:b w:val="0"/>
          <w:snapToGrid/>
          <w:sz w:val="28"/>
          <w:szCs w:val="28"/>
          <w:lang w:val="en-US" w:eastAsia="zh-CN"/>
        </w:rPr>
      </w:pPr>
    </w:p>
    <w:p w14:paraId="36A55F6D">
      <w:pPr>
        <w:rPr>
          <w:rFonts w:hint="eastAsia" w:ascii="仿宋" w:hAnsi="仿宋" w:eastAsia="仿宋" w:cs="仿宋"/>
          <w:b w:val="0"/>
          <w:snapToGrid/>
          <w:sz w:val="28"/>
          <w:szCs w:val="28"/>
          <w:lang w:val="en-US" w:eastAsia="zh-CN"/>
        </w:rPr>
      </w:pPr>
    </w:p>
    <w:p w14:paraId="56868575">
      <w:pPr>
        <w:rPr>
          <w:rFonts w:hint="eastAsia" w:ascii="仿宋" w:hAnsi="仿宋" w:eastAsia="仿宋" w:cs="仿宋"/>
          <w:b w:val="0"/>
          <w:snapToGrid/>
          <w:sz w:val="28"/>
          <w:szCs w:val="28"/>
          <w:lang w:val="en-US" w:eastAsia="zh-CN"/>
        </w:rPr>
      </w:pPr>
    </w:p>
    <w:p w14:paraId="387DBEEB">
      <w:pPr>
        <w:rPr>
          <w:rFonts w:hint="eastAsia" w:ascii="仿宋" w:hAnsi="仿宋" w:eastAsia="仿宋" w:cs="仿宋"/>
          <w:b w:val="0"/>
          <w:snapToGrid/>
          <w:sz w:val="28"/>
          <w:szCs w:val="28"/>
          <w:lang w:val="en-US" w:eastAsia="zh-CN"/>
        </w:rPr>
      </w:pPr>
    </w:p>
    <w:p w14:paraId="0C0483EB">
      <w:pPr>
        <w:rPr>
          <w:rFonts w:hint="eastAsia" w:ascii="仿宋" w:hAnsi="仿宋" w:eastAsia="仿宋" w:cs="仿宋"/>
          <w:b w:val="0"/>
          <w:snapToGrid/>
          <w:sz w:val="28"/>
          <w:szCs w:val="28"/>
          <w:lang w:val="en-US" w:eastAsia="zh-CN"/>
        </w:rPr>
      </w:pPr>
    </w:p>
    <w:p w14:paraId="7E6A951B">
      <w:pPr>
        <w:rPr>
          <w:rFonts w:hint="eastAsia" w:ascii="仿宋" w:hAnsi="仿宋" w:eastAsia="仿宋" w:cs="仿宋"/>
          <w:b w:val="0"/>
          <w:snapToGrid/>
          <w:sz w:val="28"/>
          <w:szCs w:val="28"/>
          <w:lang w:val="en-US" w:eastAsia="zh-CN"/>
        </w:rPr>
      </w:pPr>
    </w:p>
    <w:p w14:paraId="07E88187">
      <w:pPr>
        <w:rPr>
          <w:rFonts w:hint="eastAsia" w:ascii="仿宋" w:hAnsi="仿宋" w:eastAsia="仿宋" w:cs="仿宋"/>
          <w:b w:val="0"/>
          <w:snapToGrid/>
          <w:sz w:val="28"/>
          <w:szCs w:val="28"/>
          <w:lang w:val="en-US" w:eastAsia="zh-CN"/>
        </w:rPr>
      </w:pPr>
    </w:p>
    <w:p w14:paraId="543F085E">
      <w:pPr>
        <w:rPr>
          <w:rFonts w:hint="eastAsia" w:ascii="仿宋" w:hAnsi="仿宋" w:eastAsia="仿宋" w:cs="仿宋"/>
          <w:b w:val="0"/>
          <w:snapToGrid/>
          <w:sz w:val="28"/>
          <w:szCs w:val="28"/>
          <w:lang w:val="en-US" w:eastAsia="zh-CN"/>
        </w:rPr>
      </w:pPr>
    </w:p>
    <w:p w14:paraId="40745A60">
      <w:pPr>
        <w:rPr>
          <w:rFonts w:hint="eastAsia" w:ascii="仿宋" w:hAnsi="仿宋" w:eastAsia="仿宋" w:cs="仿宋"/>
          <w:b w:val="0"/>
          <w:snapToGrid/>
          <w:sz w:val="28"/>
          <w:szCs w:val="28"/>
          <w:lang w:val="en-US" w:eastAsia="zh-CN"/>
        </w:rPr>
      </w:pPr>
    </w:p>
    <w:p w14:paraId="1E684E5E">
      <w:pPr>
        <w:rPr>
          <w:rFonts w:hint="eastAsia" w:ascii="仿宋" w:hAnsi="仿宋" w:eastAsia="仿宋" w:cs="仿宋"/>
          <w:b w:val="0"/>
          <w:snapToGrid/>
          <w:sz w:val="28"/>
          <w:szCs w:val="28"/>
          <w:lang w:val="en-US" w:eastAsia="zh-CN"/>
        </w:rPr>
      </w:pPr>
    </w:p>
    <w:p w14:paraId="5D66B444">
      <w:pPr>
        <w:rPr>
          <w:rFonts w:hint="eastAsia" w:ascii="仿宋" w:hAnsi="仿宋" w:eastAsia="仿宋" w:cs="仿宋"/>
          <w:b w:val="0"/>
          <w:snapToGrid/>
          <w:sz w:val="28"/>
          <w:szCs w:val="28"/>
          <w:lang w:val="en-US" w:eastAsia="zh-CN"/>
        </w:rPr>
      </w:pPr>
    </w:p>
    <w:p w14:paraId="11BBBA9B">
      <w:pPr>
        <w:rPr>
          <w:rFonts w:hint="eastAsia" w:ascii="仿宋" w:hAnsi="仿宋" w:eastAsia="仿宋" w:cs="仿宋"/>
          <w:b w:val="0"/>
          <w:snapToGrid/>
          <w:sz w:val="28"/>
          <w:szCs w:val="28"/>
          <w:lang w:val="en-US" w:eastAsia="zh-CN"/>
        </w:rPr>
      </w:pPr>
    </w:p>
    <w:p w14:paraId="45C4839C">
      <w:pPr>
        <w:rPr>
          <w:rFonts w:hint="eastAsia" w:ascii="仿宋" w:hAnsi="仿宋" w:eastAsia="仿宋" w:cs="仿宋"/>
          <w:b w:val="0"/>
          <w:snapToGrid/>
          <w:sz w:val="28"/>
          <w:szCs w:val="28"/>
          <w:lang w:val="en-US" w:eastAsia="zh-CN"/>
        </w:rPr>
      </w:pPr>
    </w:p>
    <w:p w14:paraId="286BC0EF">
      <w:pPr>
        <w:rPr>
          <w:rFonts w:hint="eastAsia" w:ascii="仿宋" w:hAnsi="仿宋" w:eastAsia="仿宋" w:cs="仿宋"/>
          <w:b w:val="0"/>
          <w:snapToGrid/>
          <w:sz w:val="28"/>
          <w:szCs w:val="28"/>
          <w:lang w:val="en-US" w:eastAsia="zh-CN"/>
        </w:rPr>
      </w:pPr>
    </w:p>
    <w:p w14:paraId="01A0391F">
      <w:pPr>
        <w:rPr>
          <w:rFonts w:hint="eastAsia" w:ascii="仿宋" w:hAnsi="仿宋" w:eastAsia="仿宋" w:cs="仿宋"/>
          <w:b w:val="0"/>
          <w:snapToGrid/>
          <w:sz w:val="28"/>
          <w:szCs w:val="28"/>
          <w:lang w:val="en-US" w:eastAsia="zh-CN"/>
        </w:rPr>
      </w:pPr>
    </w:p>
    <w:p w14:paraId="465D5AD7">
      <w:pPr>
        <w:rPr>
          <w:rFonts w:hint="eastAsia" w:ascii="仿宋" w:hAnsi="仿宋" w:eastAsia="仿宋" w:cs="仿宋"/>
          <w:b w:val="0"/>
          <w:snapToGrid/>
          <w:sz w:val="28"/>
          <w:szCs w:val="28"/>
          <w:lang w:val="en-US" w:eastAsia="zh-CN"/>
        </w:rPr>
      </w:pPr>
    </w:p>
    <w:p w14:paraId="3E79B0E2">
      <w:pPr>
        <w:rPr>
          <w:rFonts w:hint="eastAsia" w:ascii="仿宋" w:hAnsi="仿宋" w:eastAsia="仿宋" w:cs="仿宋"/>
          <w:b w:val="0"/>
          <w:snapToGrid/>
          <w:sz w:val="28"/>
          <w:szCs w:val="28"/>
          <w:lang w:val="en-US" w:eastAsia="zh-CN"/>
        </w:rPr>
      </w:pPr>
    </w:p>
    <w:p w14:paraId="1B1594D1">
      <w:pPr>
        <w:rPr>
          <w:rFonts w:hint="eastAsia" w:ascii="仿宋" w:hAnsi="仿宋" w:eastAsia="仿宋" w:cs="仿宋"/>
          <w:b w:val="0"/>
          <w:snapToGrid/>
          <w:sz w:val="28"/>
          <w:szCs w:val="28"/>
          <w:lang w:val="en-US" w:eastAsia="zh-CN"/>
        </w:rPr>
      </w:pPr>
    </w:p>
    <w:p w14:paraId="13F7E5A4">
      <w:pPr>
        <w:ind w:firstLine="361" w:firstLineChars="100"/>
        <w:jc w:val="both"/>
        <w:rPr>
          <w:rFonts w:hint="eastAsia" w:cs="仿宋" w:asciiTheme="minorEastAsia" w:hAnsiTheme="minorEastAsia" w:eastAsiaTheme="minorEastAsia"/>
          <w:b/>
          <w:sz w:val="36"/>
          <w:szCs w:val="36"/>
          <w:lang w:val="en-US" w:eastAsia="zh-CN"/>
        </w:rPr>
      </w:pPr>
    </w:p>
    <w:p w14:paraId="445E2420">
      <w:pPr>
        <w:ind w:firstLine="361" w:firstLineChars="100"/>
        <w:jc w:val="both"/>
        <w:rPr>
          <w:rFonts w:hint="eastAsia" w:cs="仿宋" w:asciiTheme="minorEastAsia" w:hAnsiTheme="minorEastAsia" w:eastAsiaTheme="minorEastAsia"/>
          <w:b/>
          <w:sz w:val="36"/>
          <w:szCs w:val="36"/>
          <w:lang w:val="en-US" w:eastAsia="zh-CN"/>
        </w:rPr>
      </w:pPr>
    </w:p>
    <w:p w14:paraId="0D2FEC70">
      <w:pPr>
        <w:ind w:firstLine="361" w:firstLineChars="100"/>
        <w:jc w:val="both"/>
        <w:rPr>
          <w:rFonts w:hint="eastAsia" w:cs="仿宋" w:asciiTheme="minorEastAsia" w:hAnsiTheme="minorEastAsia" w:eastAsiaTheme="minorEastAsia"/>
          <w:b/>
          <w:sz w:val="36"/>
          <w:szCs w:val="36"/>
          <w:lang w:val="en-US" w:eastAsia="zh-CN"/>
        </w:rPr>
      </w:pPr>
      <w:r>
        <w:rPr>
          <w:rFonts w:hint="eastAsia" w:cs="仿宋" w:asciiTheme="minorEastAsia" w:hAnsiTheme="minorEastAsia" w:eastAsiaTheme="minorEastAsia"/>
          <w:b/>
          <w:sz w:val="36"/>
          <w:szCs w:val="36"/>
          <w:lang w:val="en-US" w:eastAsia="zh-CN"/>
        </w:rPr>
        <w:t>ZMCJ-LXCG-2024-ZJ-060响应文件：</w:t>
      </w:r>
    </w:p>
    <w:p w14:paraId="09A7DB04">
      <w:pPr>
        <w:pStyle w:val="2"/>
        <w:rPr>
          <w:rFonts w:hint="default"/>
          <w:lang w:val="en-US" w:eastAsia="zh-CN"/>
        </w:rPr>
      </w:pPr>
    </w:p>
    <w:p w14:paraId="695A3E3B">
      <w:pPr>
        <w:ind w:firstLine="361" w:firstLineChars="100"/>
        <w:jc w:val="center"/>
        <w:rPr>
          <w:rFonts w:hint="default" w:ascii="宋体" w:hAnsi="宋体" w:eastAsia="宋体" w:cs="宋体"/>
          <w:b/>
          <w:bCs w:val="0"/>
          <w:sz w:val="36"/>
          <w:szCs w:val="36"/>
          <w:lang w:val="en-US" w:eastAsia="zh-CN"/>
        </w:rPr>
      </w:pPr>
      <w:r>
        <w:rPr>
          <w:rFonts w:hint="eastAsia" w:cs="仿宋" w:asciiTheme="minorEastAsia" w:hAnsiTheme="minorEastAsia" w:eastAsiaTheme="minorEastAsia"/>
          <w:b/>
          <w:sz w:val="36"/>
          <w:szCs w:val="36"/>
          <w:lang w:val="en-US" w:eastAsia="zh-CN"/>
        </w:rPr>
        <w:t>中煤长江基础建设有限公司</w:t>
      </w:r>
    </w:p>
    <w:p w14:paraId="44AD05B2">
      <w:pPr>
        <w:ind w:firstLine="442" w:firstLineChars="100"/>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val="en-US" w:eastAsia="zh-CN"/>
        </w:rPr>
        <w:t>报价表</w:t>
      </w:r>
    </w:p>
    <w:p w14:paraId="1D661D0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项目概况：</w:t>
      </w:r>
    </w:p>
    <w:p w14:paraId="464BBC0B">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工程名称：中储粮(汕尾)直属库有限公司仓储项目施工总承包(二标段)</w:t>
      </w:r>
    </w:p>
    <w:p w14:paraId="655DBB45">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工程地点：广东省汕尾市</w:t>
      </w:r>
    </w:p>
    <w:p w14:paraId="320881A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报价信息：</w:t>
      </w:r>
    </w:p>
    <w:tbl>
      <w:tblPr>
        <w:tblStyle w:val="9"/>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3054"/>
        <w:gridCol w:w="891"/>
        <w:gridCol w:w="1245"/>
        <w:gridCol w:w="1770"/>
        <w:gridCol w:w="1740"/>
        <w:gridCol w:w="863"/>
      </w:tblGrid>
      <w:tr w14:paraId="7338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32" w:type="dxa"/>
            <w:vAlign w:val="center"/>
          </w:tcPr>
          <w:p w14:paraId="6AEAC4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3054" w:type="dxa"/>
            <w:vAlign w:val="center"/>
          </w:tcPr>
          <w:p w14:paraId="53ED6FA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891" w:type="dxa"/>
            <w:vAlign w:val="center"/>
          </w:tcPr>
          <w:p w14:paraId="126DB03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245" w:type="dxa"/>
            <w:vAlign w:val="center"/>
          </w:tcPr>
          <w:p w14:paraId="008EA06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770" w:type="dxa"/>
            <w:vAlign w:val="center"/>
          </w:tcPr>
          <w:p w14:paraId="7FD7FA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740" w:type="dxa"/>
            <w:vAlign w:val="center"/>
          </w:tcPr>
          <w:p w14:paraId="512DD6B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863" w:type="dxa"/>
            <w:vAlign w:val="center"/>
          </w:tcPr>
          <w:p w14:paraId="4DCCCF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3B0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32" w:type="dxa"/>
            <w:vAlign w:val="center"/>
          </w:tcPr>
          <w:p w14:paraId="2447A7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3054" w:type="dxa"/>
            <w:vAlign w:val="center"/>
          </w:tcPr>
          <w:p w14:paraId="2E09837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napToGrid/>
                <w:color w:val="auto"/>
                <w:sz w:val="28"/>
                <w:szCs w:val="28"/>
                <w:lang w:val="en-US" w:eastAsia="zh-CN"/>
              </w:rPr>
              <w:t>预制桩PHC500AB120/500AB125</w:t>
            </w:r>
          </w:p>
        </w:tc>
        <w:tc>
          <w:tcPr>
            <w:tcW w:w="891" w:type="dxa"/>
            <w:vAlign w:val="center"/>
          </w:tcPr>
          <w:p w14:paraId="62231E5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p>
        </w:tc>
        <w:tc>
          <w:tcPr>
            <w:tcW w:w="1245" w:type="dxa"/>
            <w:vAlign w:val="center"/>
          </w:tcPr>
          <w:p w14:paraId="527CF76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448</w:t>
            </w:r>
          </w:p>
        </w:tc>
        <w:tc>
          <w:tcPr>
            <w:tcW w:w="1770" w:type="dxa"/>
            <w:vAlign w:val="center"/>
          </w:tcPr>
          <w:p w14:paraId="627BC19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1740" w:type="dxa"/>
            <w:vAlign w:val="center"/>
          </w:tcPr>
          <w:p w14:paraId="1A727287">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p>
        </w:tc>
        <w:tc>
          <w:tcPr>
            <w:tcW w:w="863" w:type="dxa"/>
            <w:vAlign w:val="center"/>
          </w:tcPr>
          <w:p w14:paraId="6E0D175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5935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2" w:type="dxa"/>
            <w:vAlign w:val="center"/>
          </w:tcPr>
          <w:p w14:paraId="34ECA8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960" w:type="dxa"/>
            <w:gridSpan w:val="4"/>
            <w:vAlign w:val="center"/>
          </w:tcPr>
          <w:p w14:paraId="7F22400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740" w:type="dxa"/>
            <w:vAlign w:val="center"/>
          </w:tcPr>
          <w:p w14:paraId="39776D0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863" w:type="dxa"/>
            <w:vAlign w:val="center"/>
          </w:tcPr>
          <w:p w14:paraId="651241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37F352E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否</w:t>
      </w: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lang w:eastAsia="zh-CN"/>
        </w:rPr>
        <w:t>；</w:t>
      </w:r>
    </w:p>
    <w:p w14:paraId="200E0B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p>
    <w:p w14:paraId="4D04B01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r>
        <w:rPr>
          <w:rFonts w:hint="eastAsia" w:ascii="仿宋" w:hAnsi="仿宋" w:eastAsia="仿宋" w:cs="仿宋"/>
          <w:color w:val="auto"/>
          <w:sz w:val="28"/>
          <w:szCs w:val="28"/>
          <w:lang w:eastAsia="zh-CN"/>
        </w:rPr>
        <w:t>。</w:t>
      </w:r>
    </w:p>
    <w:p w14:paraId="0FC72D6B">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1B1168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5AA017A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04650314">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5A0A254C">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lang w:val="en-US" w:eastAsia="zh-CN"/>
        </w:rPr>
      </w:pPr>
      <w:r>
        <w:rPr>
          <w:rFonts w:hint="default" w:ascii="仿宋" w:hAnsi="仿宋" w:eastAsia="仿宋" w:cs="仿宋"/>
          <w:color w:val="auto"/>
          <w:sz w:val="28"/>
          <w:szCs w:val="28"/>
          <w:lang w:val="en-US" w:eastAsia="zh-CN"/>
        </w:rPr>
        <w:t>货到三天内付款</w:t>
      </w:r>
      <w:r>
        <w:rPr>
          <w:rFonts w:hint="eastAsia" w:ascii="仿宋" w:hAnsi="仿宋" w:eastAsia="仿宋" w:cs="仿宋"/>
          <w:color w:val="auto"/>
          <w:sz w:val="28"/>
          <w:szCs w:val="28"/>
          <w:lang w:val="en-US" w:eastAsia="zh-CN"/>
        </w:rPr>
        <w:t>。</w:t>
      </w:r>
    </w:p>
    <w:p w14:paraId="4578DE71">
      <w:pPr>
        <w:rPr>
          <w:rFonts w:hint="eastAsia"/>
        </w:rPr>
      </w:pPr>
    </w:p>
    <w:p w14:paraId="4EEB1E03">
      <w:pPr>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200"/>
        <w:jc w:val="left"/>
        <w:textAlignment w:val="auto"/>
        <w:rPr>
          <w:rFonts w:hint="eastAsia" w:ascii="仿宋" w:hAnsi="仿宋" w:eastAsia="仿宋" w:cs="仿宋"/>
          <w:sz w:val="28"/>
          <w:szCs w:val="28"/>
        </w:rPr>
      </w:pPr>
      <w:r>
        <w:rPr>
          <w:rFonts w:hint="eastAsia" w:ascii="仿宋" w:hAnsi="仿宋" w:eastAsia="仿宋" w:cs="仿宋"/>
          <w:sz w:val="28"/>
          <w:szCs w:val="28"/>
        </w:rPr>
        <w:t>报价人：</w:t>
      </w:r>
    </w:p>
    <w:p w14:paraId="39E3FFBA">
      <w:pPr>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代   表</w:t>
      </w:r>
      <w:r>
        <w:rPr>
          <w:rFonts w:hint="eastAsia" w:ascii="仿宋" w:hAnsi="仿宋" w:eastAsia="仿宋" w:cs="仿宋"/>
          <w:sz w:val="28"/>
          <w:szCs w:val="28"/>
        </w:rPr>
        <w:t>：</w:t>
      </w:r>
    </w:p>
    <w:p w14:paraId="35886432">
      <w:pPr>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200"/>
        <w:jc w:val="left"/>
        <w:textAlignment w:val="auto"/>
        <w:rPr>
          <w:rFonts w:hint="eastAsia" w:ascii="仿宋" w:hAnsi="仿宋" w:eastAsia="仿宋" w:cs="仿宋"/>
          <w:sz w:val="28"/>
          <w:szCs w:val="28"/>
        </w:rPr>
      </w:pPr>
      <w:r>
        <w:rPr>
          <w:rFonts w:hint="eastAsia" w:ascii="仿宋" w:hAnsi="仿宋" w:eastAsia="仿宋" w:cs="仿宋"/>
          <w:sz w:val="28"/>
          <w:szCs w:val="28"/>
        </w:rPr>
        <w:t>联系电话：</w:t>
      </w:r>
    </w:p>
    <w:p w14:paraId="528ED920">
      <w:pPr>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200"/>
        <w:jc w:val="left"/>
        <w:textAlignment w:val="auto"/>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F4AA6C4A"/>
    <w:multiLevelType w:val="singleLevel"/>
    <w:tmpl w:val="F4AA6C4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0756D"/>
    <w:rsid w:val="1BE10F2E"/>
    <w:rsid w:val="7530756D"/>
    <w:rsid w:val="7748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标4"/>
    <w:basedOn w:val="3"/>
    <w:next w:val="1"/>
    <w:qFormat/>
    <w:uiPriority w:val="99"/>
    <w:pPr>
      <w:ind w:firstLine="560"/>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674</Words>
  <Characters>807</Characters>
  <Lines>0</Lines>
  <Paragraphs>0</Paragraphs>
  <TotalTime>0</TotalTime>
  <ScaleCrop>false</ScaleCrop>
  <LinksUpToDate>false</LinksUpToDate>
  <CharactersWithSpaces>905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2024-11-21T03:14:00Z</dcterms:created>
  <dc:creator>维</dc:creator>
  <cp:lastModifiedBy>维</cp:lastModifiedBy>
  <dcterms:modified xsi:type="dcterms:W3CDTF">2024-11-21T03:24:43Z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17C4B249537748E1B132D27CC3C9A230_11</vt:lpwstr>
  </property>
</Properties>
</file>