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/>
          <w:b/>
          <w:sz w:val="48"/>
          <w:szCs w:val="48"/>
        </w:rPr>
      </w:pPr>
    </w:p>
    <w:p>
      <w:pPr>
        <w:spacing w:line="1200" w:lineRule="exact"/>
        <w:ind w:firstLine="1561" w:firstLineChars="300"/>
        <w:jc w:val="both"/>
        <w:rPr>
          <w:rFonts w:hint="eastAsia"/>
          <w:b/>
          <w:sz w:val="52"/>
          <w:szCs w:val="52"/>
        </w:rPr>
      </w:pPr>
      <w:bookmarkStart w:id="1" w:name="_GoBack"/>
      <w:bookmarkEnd w:id="1"/>
      <w:r>
        <w:rPr>
          <w:rFonts w:hint="eastAsia"/>
          <w:b/>
          <w:sz w:val="52"/>
          <w:szCs w:val="52"/>
        </w:rPr>
        <w:t>预拌商品混凝土买卖合同</w:t>
      </w:r>
    </w:p>
    <w:p>
      <w:pPr>
        <w:spacing w:line="800" w:lineRule="exact"/>
        <w:rPr>
          <w:rFonts w:hint="eastAsia"/>
          <w:sz w:val="72"/>
          <w:szCs w:val="72"/>
        </w:rPr>
      </w:pPr>
    </w:p>
    <w:p>
      <w:pPr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>合同编号：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1120" w:firstLineChars="350"/>
        <w:rPr>
          <w:rFonts w:hint="eastAsia"/>
          <w:sz w:val="32"/>
          <w:szCs w:val="32"/>
        </w:rPr>
      </w:pPr>
    </w:p>
    <w:p>
      <w:pPr>
        <w:ind w:firstLine="1120" w:firstLineChars="350"/>
        <w:rPr>
          <w:rFonts w:hint="eastAsia"/>
          <w:sz w:val="32"/>
          <w:szCs w:val="32"/>
        </w:rPr>
      </w:pPr>
    </w:p>
    <w:p>
      <w:pPr>
        <w:ind w:firstLine="1120" w:firstLineChars="350"/>
        <w:rPr>
          <w:rFonts w:hint="eastAsia"/>
          <w:sz w:val="32"/>
          <w:szCs w:val="32"/>
        </w:rPr>
      </w:pPr>
    </w:p>
    <w:p>
      <w:pPr>
        <w:ind w:firstLine="1120" w:firstLineChars="35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32"/>
          <w:szCs w:val="32"/>
        </w:rPr>
        <w:t>工程名称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ind w:firstLine="980" w:firstLineChars="350"/>
        <w:rPr>
          <w:rFonts w:hint="default"/>
          <w:sz w:val="28"/>
          <w:szCs w:val="28"/>
          <w:u w:val="single"/>
          <w:lang w:val="en-US" w:eastAsia="zh-CN"/>
        </w:rPr>
      </w:pPr>
    </w:p>
    <w:p>
      <w:pPr>
        <w:ind w:firstLine="1120" w:firstLineChars="3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工程地址：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</w:p>
    <w:p>
      <w:pPr>
        <w:ind w:firstLine="1120" w:firstLineChars="350"/>
        <w:rPr>
          <w:rFonts w:hint="eastAsia"/>
          <w:sz w:val="32"/>
          <w:szCs w:val="32"/>
        </w:rPr>
      </w:pPr>
    </w:p>
    <w:p>
      <w:pPr>
        <w:ind w:firstLine="1120" w:firstLineChars="3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eastAsia="zh-CN"/>
        </w:rPr>
        <w:t>买</w:t>
      </w:r>
      <w:r>
        <w:rPr>
          <w:rFonts w:hint="eastAsia"/>
          <w:sz w:val="32"/>
          <w:szCs w:val="32"/>
        </w:rPr>
        <w:t xml:space="preserve">    方：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1120" w:firstLineChars="350"/>
        <w:rPr>
          <w:rFonts w:hint="eastAsia"/>
          <w:sz w:val="32"/>
          <w:szCs w:val="32"/>
        </w:rPr>
      </w:pPr>
    </w:p>
    <w:p>
      <w:pPr>
        <w:ind w:firstLine="1120" w:firstLineChars="3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eastAsia="zh-CN"/>
        </w:rPr>
        <w:t>卖</w:t>
      </w:r>
      <w:r>
        <w:rPr>
          <w:rFonts w:hint="eastAsia"/>
          <w:sz w:val="32"/>
          <w:szCs w:val="32"/>
        </w:rPr>
        <w:t xml:space="preserve">    方：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br w:type="page"/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预拌商品混凝土买卖合同</w:t>
      </w:r>
    </w:p>
    <w:p>
      <w:pPr>
        <w:spacing w:line="460" w:lineRule="exact"/>
        <w:jc w:val="center"/>
        <w:rPr>
          <w:rFonts w:hint="eastAsia"/>
          <w:b/>
          <w:sz w:val="48"/>
          <w:szCs w:val="48"/>
        </w:rPr>
      </w:pP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买方：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卖方：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beforeLines="0" w:beforeAutospacing="0" w:after="0" w:afterLines="0" w:afterAutospacing="0" w:line="360" w:lineRule="atLeast"/>
        <w:ind w:firstLine="560" w:firstLineChars="200"/>
        <w:jc w:val="both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根据《中华人民共和国</w:t>
      </w:r>
      <w:r>
        <w:rPr>
          <w:rFonts w:hint="eastAsia"/>
          <w:b w:val="0"/>
          <w:sz w:val="28"/>
          <w:szCs w:val="28"/>
          <w:lang w:eastAsia="zh-CN"/>
        </w:rPr>
        <w:t>民</w:t>
      </w:r>
      <w:r>
        <w:rPr>
          <w:rFonts w:hint="eastAsia"/>
          <w:b w:val="0"/>
          <w:sz w:val="28"/>
          <w:szCs w:val="28"/>
        </w:rPr>
        <w:t>法</w:t>
      </w:r>
      <w:r>
        <w:rPr>
          <w:rFonts w:hint="eastAsia"/>
          <w:b w:val="0"/>
          <w:sz w:val="28"/>
          <w:szCs w:val="28"/>
          <w:lang w:eastAsia="zh-CN"/>
        </w:rPr>
        <w:t>典</w:t>
      </w:r>
      <w:r>
        <w:rPr>
          <w:rFonts w:hint="eastAsia"/>
          <w:b w:val="0"/>
          <w:sz w:val="28"/>
          <w:szCs w:val="28"/>
        </w:rPr>
        <w:t>》和《邯郸市散装水泥和预拌混凝土管理条例》相关规定，就</w:t>
      </w:r>
      <w:r>
        <w:rPr>
          <w:rFonts w:hint="eastAsia"/>
          <w:b w:val="0"/>
          <w:sz w:val="28"/>
          <w:szCs w:val="28"/>
          <w:lang w:eastAsia="zh-CN"/>
        </w:rPr>
        <w:t>卖</w:t>
      </w:r>
      <w:r>
        <w:rPr>
          <w:rFonts w:hint="eastAsia"/>
          <w:b w:val="0"/>
          <w:sz w:val="28"/>
          <w:szCs w:val="28"/>
        </w:rPr>
        <w:t>方向</w:t>
      </w:r>
      <w:r>
        <w:rPr>
          <w:rFonts w:hint="eastAsia"/>
          <w:b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sz w:val="28"/>
          <w:szCs w:val="28"/>
        </w:rPr>
        <w:t>工程所需预拌商品混凝土供应事宜，</w:t>
      </w:r>
      <w:r>
        <w:rPr>
          <w:rFonts w:hint="eastAsia"/>
          <w:b w:val="0"/>
          <w:sz w:val="28"/>
          <w:szCs w:val="28"/>
          <w:lang w:eastAsia="zh-CN"/>
        </w:rPr>
        <w:t>买卖</w:t>
      </w:r>
      <w:r>
        <w:rPr>
          <w:rFonts w:hint="eastAsia"/>
          <w:b w:val="0"/>
          <w:sz w:val="28"/>
          <w:szCs w:val="28"/>
        </w:rPr>
        <w:t>双方签订本买卖合同：</w:t>
      </w:r>
    </w:p>
    <w:p>
      <w:pPr>
        <w:numPr>
          <w:ilvl w:val="0"/>
          <w:numId w:val="1"/>
        </w:num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预拌商品混凝土供应工程和概况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建设单位：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工程名称：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Style w:val="7"/>
          <w:rFonts w:hint="eastAsia" w:ascii="宋体" w:hAnsi="宋体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60" w:lineRule="exact"/>
        <w:ind w:firstLine="560" w:firstLineChars="200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sz w:val="28"/>
          <w:szCs w:val="28"/>
        </w:rPr>
        <w:t>交货地点：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Style w:val="7"/>
          <w:rFonts w:hint="eastAsia" w:ascii="宋体" w:hAnsi="宋体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Style w:val="7"/>
          <w:rFonts w:hint="eastAsia" w:ascii="宋体" w:hAnsi="宋体"/>
          <w:kern w:val="2"/>
          <w:sz w:val="22"/>
          <w:szCs w:val="22"/>
          <w:u w:val="single"/>
          <w:lang w:val="en-US" w:eastAsia="zh-CN" w:bidi="ar-SA"/>
        </w:rPr>
        <w:t xml:space="preserve">    </w:t>
      </w:r>
      <w:r>
        <w:rPr>
          <w:rStyle w:val="7"/>
          <w:rFonts w:hint="eastAsia" w:ascii="宋体" w:hAnsi="宋体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工程概况：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本合同所需的商品混凝土总数量约为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立方米。如数量有增减，双方同意据实结算。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买</w:t>
      </w:r>
      <w:r>
        <w:rPr>
          <w:rFonts w:hint="eastAsia" w:ascii="宋体" w:hAnsi="宋体"/>
          <w:b/>
          <w:sz w:val="28"/>
          <w:szCs w:val="28"/>
        </w:rPr>
        <w:t>方所需混凝土强度要求及价格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893"/>
        <w:gridCol w:w="893"/>
        <w:gridCol w:w="893"/>
        <w:gridCol w:w="893"/>
        <w:gridCol w:w="893"/>
        <w:gridCol w:w="893"/>
        <w:gridCol w:w="893"/>
        <w:gridCol w:w="89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强度等级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C10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C15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C20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C25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C30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C35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C40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（元/方）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塌落度</w:t>
            </w:r>
            <w:r>
              <w:rPr>
                <w:rFonts w:hint="eastAsia" w:ascii="宋体" w:hAnsi="宋体"/>
                <w:sz w:val="24"/>
              </w:rPr>
              <w:t>(mm)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合计（元）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备注：</w:t>
            </w:r>
            <w:bookmarkStart w:id="0" w:name="OLE_LINK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以上价格为3%含税价格，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不含税价不因国家税收政策变化而变化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若在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instrText xml:space="preserve"> HYPERLINK "http://www.64365.com/zs/630437.aspx" \o "合同履行" \t "http://www.64365.com/zs/360/_blank"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合同履行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期间,遇国家税收政策调整,则税价合计金额相应调整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eastAsia="zh-CN"/>
              </w:rPr>
              <w:t>。</w:t>
            </w:r>
            <w:bookmarkEnd w:id="0"/>
          </w:p>
        </w:tc>
      </w:tr>
    </w:tbl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以上为混凝土入泵前价格，泵送环节由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方负责，泵送费采用以下方式计算：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小泵（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37米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75m³以内按1500元/次；75m³以上20元/m³。大泵（47米）100m³以内按2000元/次；100m³以上20元/m³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注：特殊商品混凝土价格，如需加防渗剂、UEA膨胀剂等每加一项在相等强度等级的基价上增加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元/立方米，如砼中需加防冻剂的，在相等强度等级的基价上增加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元/立方米，如砼中需加缓凝剂的，按相等强度等级的基价执行，如砼中需加早强剂的，在相等强度等级的基价上增加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元/立方米。道路用混凝土，在相等强度等级的基价上增加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元/立方米。细石砼在相等强度等级的基价上增加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元/立方米。钻孔灌注桩在相等强度等级的基价上增加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/>
          <w:sz w:val="28"/>
          <w:szCs w:val="28"/>
        </w:rPr>
        <w:t>立方米。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三、预拌商品混凝土技术事项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按现行国家标准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四、交货验收与计量方法</w:t>
      </w:r>
    </w:p>
    <w:p>
      <w:pPr>
        <w:spacing w:line="460" w:lineRule="exact"/>
        <w:ind w:firstLine="700" w:firstLineChars="250"/>
        <w:rPr>
          <w:rStyle w:val="8"/>
          <w:rFonts w:hint="eastAsia" w:ascii="宋体" w:hAnsi="宋体"/>
          <w:color w:val="000000"/>
          <w:sz w:val="28"/>
          <w:szCs w:val="28"/>
        </w:rPr>
      </w:pPr>
      <w:r>
        <w:rPr>
          <w:rStyle w:val="8"/>
          <w:rFonts w:hint="eastAsia" w:ascii="宋体" w:hAnsi="宋体"/>
          <w:color w:val="000000"/>
          <w:sz w:val="28"/>
          <w:szCs w:val="28"/>
        </w:rPr>
        <w:t>1、</w:t>
      </w:r>
      <w:r>
        <w:rPr>
          <w:rStyle w:val="8"/>
          <w:rFonts w:hint="eastAsia" w:ascii="宋体" w:hAnsi="宋体"/>
          <w:color w:val="000000"/>
          <w:sz w:val="28"/>
          <w:szCs w:val="28"/>
          <w:lang w:eastAsia="zh-CN"/>
        </w:rPr>
        <w:t>卖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方按</w:t>
      </w:r>
      <w:r>
        <w:rPr>
          <w:rStyle w:val="8"/>
          <w:rFonts w:hint="eastAsia" w:ascii="宋体" w:hAnsi="宋体"/>
          <w:color w:val="000000"/>
          <w:sz w:val="28"/>
          <w:szCs w:val="28"/>
          <w:lang w:eastAsia="zh-CN"/>
        </w:rPr>
        <w:t>买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方订单要求进行供货，</w:t>
      </w:r>
      <w:r>
        <w:rPr>
          <w:rStyle w:val="8"/>
          <w:rFonts w:hint="eastAsia" w:ascii="宋体" w:hAnsi="宋体"/>
          <w:color w:val="000000"/>
          <w:sz w:val="28"/>
          <w:szCs w:val="28"/>
          <w:lang w:eastAsia="zh-CN"/>
        </w:rPr>
        <w:t>买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方指派专人为工地材料验收员，在</w:t>
      </w:r>
      <w:r>
        <w:rPr>
          <w:rStyle w:val="8"/>
          <w:rFonts w:hint="eastAsia" w:ascii="宋体" w:hAnsi="宋体"/>
          <w:color w:val="000000"/>
          <w:sz w:val="28"/>
          <w:szCs w:val="28"/>
          <w:lang w:eastAsia="zh-CN"/>
        </w:rPr>
        <w:t>卖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方《混凝土送货单》上签收即为交货完毕。并依据《混凝土发货单》上的供应量作为双方对账结算的依据。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  <w:lang w:eastAsia="zh-CN"/>
              </w:rPr>
              <w:t>买方对账人姓名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color w:val="333333"/>
                <w:sz w:val="28"/>
                <w:szCs w:val="28"/>
                <w:vertAlign w:val="baseline"/>
              </w:rPr>
            </w:pPr>
          </w:p>
        </w:tc>
      </w:tr>
    </w:tbl>
    <w:p>
      <w:pPr>
        <w:spacing w:line="460" w:lineRule="exact"/>
        <w:ind w:firstLine="560" w:firstLineChars="200"/>
        <w:rPr>
          <w:rStyle w:val="8"/>
          <w:rFonts w:hint="default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cs="Times New Roman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Times New Roman"/>
          <w:b w:val="0"/>
          <w:bCs/>
          <w:color w:val="C00000"/>
          <w:sz w:val="28"/>
          <w:szCs w:val="28"/>
          <w:lang w:val="en-US" w:eastAsia="zh-CN"/>
        </w:rPr>
        <w:t>如非指定人员签字，则以卖方送货单/发货单/磅单作为最后结算依据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。</w:t>
      </w:r>
    </w:p>
    <w:p>
      <w:pPr>
        <w:spacing w:line="460" w:lineRule="exact"/>
        <w:ind w:firstLine="560" w:firstLineChars="200"/>
        <w:rPr>
          <w:rStyle w:val="8"/>
          <w:rFonts w:hint="eastAsia" w:ascii="宋体" w:hAnsi="宋体"/>
          <w:color w:val="000000"/>
          <w:sz w:val="28"/>
          <w:szCs w:val="28"/>
        </w:rPr>
      </w:pPr>
      <w:r>
        <w:rPr>
          <w:rStyle w:val="8"/>
          <w:rFonts w:hint="eastAsia" w:ascii="宋体" w:hAnsi="宋体" w:cs="Times New Roman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买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方怀疑方量不足时，以抽查过磅十车的平均值为准。混凝土方量按国家标准不应超过±2%，若抽查数量超过允许误差，则当天这批次混凝土按抽查结果计算方量。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  <w:u w:val="single"/>
        </w:rPr>
      </w:pPr>
      <w:r>
        <w:rPr>
          <w:rStyle w:val="8"/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、其它计量方式：</w:t>
      </w:r>
      <w:r>
        <w:rPr>
          <w:rStyle w:val="8"/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Style w:val="8"/>
          <w:rFonts w:hint="eastAsia" w:ascii="宋体" w:hAnsi="宋体"/>
          <w:color w:val="000000"/>
          <w:sz w:val="28"/>
          <w:szCs w:val="28"/>
          <w:u w:val="single"/>
          <w:lang w:eastAsia="zh-CN"/>
        </w:rPr>
        <w:t>按现行国家标准</w:t>
      </w:r>
      <w:r>
        <w:rPr>
          <w:rStyle w:val="8"/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五、商品混凝土付款方式和期限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六、双方义务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方义务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方必须按现行国家标准及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方申请的技术要求进行商品混凝土配合比设计和生产、供应，并保证产品符合国家相关标准。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方对所提供商品混凝土质量负责。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2、按本合同将商品混凝土供应给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方前，向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方提供商品混凝土使用技术说明、产品合格证和相关技术资料。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3、按混凝土技术规范和有关规定组织生产，按批量随机取样，制作出厂检验试块。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4、保证搅拌设备具备微机控制、原材料自动投料、自动计量功能，并保管相应生产原始数据。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5、设置汽车磅等计量器具，保证供货数量。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方按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方要求提供泵送设备，泵送入模。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7、按照合同约定和双方商定的供货计划按时发货，保证施工进度和工程连续浇筑混凝土需要。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方泵送指挥员、现场施工员必须随货到达现场指挥施工。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方义务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方提供商品混凝土卸载条件，做到施工现场进出道路坚实、平整、畅通，有电力、照明、水资源等设施。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2、应提前24小时将商品混凝土需求信息（等级、部位、楼层、轴线、时间、数量、技术要求等）报给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方，便于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方提前安排。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3、因特殊原因，需要临时性停工或更改商品混凝土买卖合同清单的内容，应及时书面形式通知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方，并与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方协商确定新的供应计划。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七、违约责任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方违约责任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1、由于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方未按合同要求或未履行本合同规定给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方造成经济损失，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致使买方合同目的不能实现，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方有权依法解除合同，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方承担以此给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方造成的经济损失并向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方承担不能履行部分金额的百分之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违约金。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2、未及时提供商品混凝土使用技术说明、产品合格证和相关技术资料供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方检查，导致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方拒绝验收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方所提供的商品混凝土而造成的经济损失由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方承担。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3、未按合同约定和双方商定的供货计划供货，而导致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方工程连续浇筑中断或工期延误，所造成的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方经济损失由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方承担。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方接到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方指定人员电话或书面通知后，在24小时内开盘供货属正常供货。延误一天仍不能供货，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方有权要求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方出具的书面委托书在其它有资质预拌混凝土企业购买混凝土，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方承担一切超支费用，并向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方支付（￥500元/次）的违约金。同时承担因此而给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方造成的经济损失。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方违约责任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1、未能向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方提供施工组织、浇筑条件和保障条件而造成混凝土初凝期未浇筑完毕或在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方按合同约定正常送货情况下不能按时浇筑、不按时验收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方的送货、拒绝接收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方送货，给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方造成的经济损失由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方承担。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方接受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方送货后未按合同约定履行验收手续而使用混凝土，承担未验收责任。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3、未按合同规定付款，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方向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方提出停止供应混凝土通知，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日内仍未付款，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方有权依法解除合同，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方承担由此给</w:t>
      </w:r>
      <w:r>
        <w:rPr>
          <w:rFonts w:hint="eastAsia" w:ascii="宋体" w:hAnsi="宋体"/>
          <w:sz w:val="28"/>
          <w:szCs w:val="28"/>
          <w:lang w:eastAsia="zh-CN"/>
        </w:rPr>
        <w:t>卖</w:t>
      </w:r>
      <w:r>
        <w:rPr>
          <w:rFonts w:hint="eastAsia" w:ascii="宋体" w:hAnsi="宋体"/>
          <w:sz w:val="28"/>
          <w:szCs w:val="28"/>
        </w:rPr>
        <w:t>方所造成的经济损失，未能履行部分金额</w:t>
      </w:r>
      <w:r>
        <w:rPr>
          <w:rFonts w:hint="eastAsia" w:ascii="宋体" w:hAnsi="宋体"/>
          <w:sz w:val="28"/>
          <w:szCs w:val="28"/>
          <w:lang w:eastAsia="zh-CN"/>
        </w:rPr>
        <w:t>按日万分</w:t>
      </w:r>
      <w:r>
        <w:rPr>
          <w:rFonts w:hint="eastAsia" w:ascii="宋体" w:hAnsi="宋体"/>
          <w:sz w:val="28"/>
          <w:szCs w:val="28"/>
        </w:rPr>
        <w:t>之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偿付违约金。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如买方拖延不予结算货款，则以卖方送货单/发货单/磅单作为最后结算依据。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八、其它约定事项</w:t>
      </w:r>
    </w:p>
    <w:p>
      <w:pPr>
        <w:spacing w:line="46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1、单次使用混凝土不足8m³补齐8m³运费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60" w:lineRule="exact"/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2、混凝土到达工地两小时内卸完，否则每超一小时加100元运费     </w:t>
      </w:r>
    </w:p>
    <w:p>
      <w:pPr>
        <w:spacing w:line="460" w:lineRule="exac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3、因不可抗力因素造成的停工、断供等与卖方无关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60" w:lineRule="exac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4、本合同价格随行就市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p>
      <w:pPr>
        <w:spacing w:line="460" w:lineRule="exact"/>
        <w:rPr>
          <w:rFonts w:hint="default" w:ascii="宋体" w:hAnsi="宋体"/>
          <w:b/>
          <w:sz w:val="28"/>
          <w:szCs w:val="28"/>
          <w:u w:val="single"/>
          <w:lang w:val="en-US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5、本合同价格含单程15公里运费，每超1公里，加运费1.5元/m³   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九、争议和裁决   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如双方因质量、经济及其它方面问题发生争议，双方协商解决，协商不成，可委托</w:t>
      </w:r>
      <w:r>
        <w:rPr>
          <w:rFonts w:hint="eastAsia" w:ascii="宋体" w:hAnsi="宋体"/>
          <w:sz w:val="28"/>
          <w:szCs w:val="28"/>
          <w:lang w:eastAsia="zh-CN"/>
        </w:rPr>
        <w:t>合同签订地</w:t>
      </w:r>
      <w:r>
        <w:rPr>
          <w:rFonts w:hint="eastAsia" w:ascii="宋体" w:hAnsi="宋体"/>
          <w:sz w:val="28"/>
          <w:szCs w:val="28"/>
        </w:rPr>
        <w:t>人民法院提起诉讼。</w:t>
      </w:r>
    </w:p>
    <w:p>
      <w:pPr>
        <w:spacing w:line="4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十、本合同自双方签字盖章后生效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color w:val="auto"/>
          <w:sz w:val="28"/>
          <w:szCs w:val="28"/>
        </w:rPr>
        <w:t>合同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一式</w:t>
      </w:r>
      <w:r>
        <w:rPr>
          <w:rFonts w:hint="eastAsia" w:ascii="宋体" w:hAnsi="宋体"/>
          <w:b/>
          <w:color w:val="auto"/>
          <w:sz w:val="28"/>
          <w:szCs w:val="28"/>
          <w:u w:val="single"/>
          <w:lang w:val="en-US" w:eastAsia="zh-CN"/>
        </w:rPr>
        <w:t xml:space="preserve"> 肆 </w:t>
      </w:r>
      <w:r>
        <w:rPr>
          <w:rFonts w:hint="eastAsia" w:ascii="宋体" w:hAnsi="宋体"/>
          <w:b/>
          <w:color w:val="auto"/>
          <w:sz w:val="28"/>
          <w:szCs w:val="28"/>
        </w:rPr>
        <w:t>份，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双方各执</w:t>
      </w:r>
      <w:r>
        <w:rPr>
          <w:rFonts w:hint="eastAsia" w:ascii="宋体" w:hAnsi="宋体"/>
          <w:b/>
          <w:color w:val="auto"/>
          <w:sz w:val="28"/>
          <w:szCs w:val="28"/>
          <w:u w:val="single"/>
          <w:lang w:val="en-US" w:eastAsia="zh-CN"/>
        </w:rPr>
        <w:t xml:space="preserve"> 贰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份，</w:t>
      </w:r>
      <w:r>
        <w:rPr>
          <w:rFonts w:hint="eastAsia" w:ascii="宋体" w:hAnsi="宋体"/>
          <w:b/>
          <w:sz w:val="28"/>
          <w:szCs w:val="28"/>
        </w:rPr>
        <w:t>待双方货款结清合同履行完毕自动失效。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买</w:t>
      </w:r>
      <w:r>
        <w:rPr>
          <w:rFonts w:hint="eastAsia"/>
          <w:sz w:val="28"/>
          <w:szCs w:val="28"/>
        </w:rPr>
        <w:t>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卖</w:t>
      </w:r>
      <w:r>
        <w:rPr>
          <w:rFonts w:hint="eastAsia"/>
          <w:sz w:val="28"/>
          <w:szCs w:val="28"/>
        </w:rPr>
        <w:t xml:space="preserve">方：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地址：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法定代表人：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委托代理人：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委托代理人：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开户银行：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账号：</w:t>
      </w:r>
    </w:p>
    <w:p>
      <w:pPr>
        <w:ind w:left="5600" w:hanging="5600" w:hanging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spacing w:line="460" w:lineRule="exact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合同签订地点：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74DCD"/>
    <w:multiLevelType w:val="multilevel"/>
    <w:tmpl w:val="64974DCD"/>
    <w:lvl w:ilvl="0" w:tentative="0">
      <w:start w:val="1"/>
      <w:numFmt w:val="japaneseCounting"/>
      <w:lvlText w:val="%1、"/>
      <w:lvlJc w:val="left"/>
      <w:pPr>
        <w:tabs>
          <w:tab w:val="left" w:pos="1202"/>
        </w:tabs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zhkODhhNTUyOTYwMDlkOTUwZThlYTdjNzdhNDkifQ=="/>
  </w:docVars>
  <w:rsids>
    <w:rsidRoot w:val="77443F2E"/>
    <w:rsid w:val="7744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none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2024-11-22T15:31:00Z</dcterms:created>
  <dc:creator>1</dc:creator>
  <cp:lastModifiedBy>1</cp:lastModifiedBy>
  <dcterms:modified xsi:type="dcterms:W3CDTF">2024-11-22T15:34:13Z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6A404465A9A140A1A656E886B5533C9B_11</vt:lpwstr>
  </property>
</Properties>
</file>