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县平安街道井店镇高标准农田建设项目（以奖代补）</w:t>
      </w:r>
      <w:r>
        <w:rPr>
          <w:rFonts w:hint="eastAsia" w:ascii="仿宋" w:hAnsi="仿宋" w:eastAsia="仿宋" w:cs="仿宋"/>
          <w:snapToGrid/>
          <w:color w:val="333333"/>
          <w:sz w:val="48"/>
          <w:szCs w:val="48"/>
          <w:highlight w:val="none"/>
          <w:u w:val="single"/>
          <w:lang w:val="en-US" w:eastAsia="zh-CN"/>
        </w:rPr>
        <w:t>水泥稳定碎石</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5"/>
        <w:rPr>
          <w:rFonts w:hint="eastAsia" w:ascii="仿宋" w:hAnsi="仿宋" w:eastAsia="仿宋" w:cs="仿宋"/>
        </w:rPr>
      </w:pPr>
    </w:p>
    <w:p>
      <w:pPr>
        <w:pStyle w:val="5"/>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ZMCJ07CG20240177-</w:t>
      </w:r>
      <w:r>
        <w:rPr>
          <w:rFonts w:hint="eastAsia" w:ascii="仿宋" w:hAnsi="仿宋" w:eastAsia="仿宋" w:cs="仿宋"/>
          <w:snapToGrid/>
          <w:color w:val="000000" w:themeColor="text1"/>
          <w:sz w:val="32"/>
          <w:szCs w:val="32"/>
          <w:highlight w:val="none"/>
          <w:lang w:val="en-US" w:eastAsia="zh-CN"/>
          <w14:textFill>
            <w14:solidFill>
              <w14:schemeClr w14:val="tx1"/>
            </w14:solidFill>
          </w14:textFill>
        </w:rPr>
        <w:t>3</w:t>
      </w: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color w:val="000000" w:themeColor="text1"/>
          <w:sz w:val="32"/>
          <w:szCs w:val="32"/>
          <w:lang w:eastAsia="zh-CN"/>
          <w14:textFill>
            <w14:solidFill>
              <w14:schemeClr w14:val="tx1"/>
            </w14:solidFill>
          </w14:textFill>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县平安街道井店镇高标准农田建设项目（以奖代补）</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水泥稳定碎石</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吨</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30000.00</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pPr>
              <w:spacing w:line="24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89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月结已供货款的50%，剩余款12月底付清。</w:t>
      </w:r>
    </w:p>
    <w:p>
      <w:pPr>
        <w:pStyle w:val="12"/>
        <w:rPr>
          <w:rFonts w:hint="eastAsia" w:ascii="仿宋" w:hAnsi="仿宋" w:eastAsia="仿宋" w:cs="仿宋"/>
          <w:sz w:val="24"/>
          <w:szCs w:val="24"/>
          <w:lang w:val="en-US" w:eastAsia="zh-CN"/>
        </w:rPr>
      </w:pPr>
    </w:p>
    <w:p>
      <w:pPr>
        <w:rPr>
          <w:rFonts w:hint="default"/>
          <w:lang w:val="en-US" w:eastAsia="zh-CN"/>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pPr>
        <w:pStyle w:val="12"/>
        <w:rPr>
          <w:rFonts w:hint="eastAsia"/>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6"/>
        <w:autoSpaceDE/>
        <w:autoSpaceDN/>
        <w:adjustRightInd/>
        <w:spacing w:line="560" w:lineRule="exact"/>
        <w:jc w:val="both"/>
        <w:rPr>
          <w:rFonts w:hint="eastAsia" w:ascii="仿宋" w:hAnsi="仿宋" w:eastAsia="仿宋" w:cs="仿宋"/>
          <w:kern w:val="2"/>
          <w:szCs w:val="24"/>
        </w:rPr>
      </w:pPr>
    </w:p>
    <w:p>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6"/>
        <w:autoSpaceDE/>
        <w:autoSpaceDN/>
        <w:adjustRightInd/>
        <w:spacing w:line="560" w:lineRule="exact"/>
        <w:rPr>
          <w:rFonts w:hint="eastAsia" w:ascii="仿宋" w:hAnsi="仿宋" w:eastAsia="仿宋" w:cs="仿宋"/>
          <w:kern w:val="2"/>
          <w:szCs w:val="24"/>
        </w:rPr>
      </w:pPr>
    </w:p>
    <w:p>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12"/>
        <w:rPr>
          <w:rFonts w:hint="eastAsia"/>
        </w:rPr>
      </w:pPr>
    </w:p>
    <w:p/>
    <w:p/>
    <w:p>
      <w:pPr>
        <w:rPr>
          <w:rFonts w:hint="default" w:eastAsia="宋体"/>
          <w:highlight w:val="yellow"/>
          <w:lang w:val="en-US" w:eastAsia="zh-CN"/>
        </w:rPr>
      </w:pPr>
      <w:r>
        <w:rPr>
          <w:rFonts w:hint="eastAsia" w:eastAsia="宋体"/>
          <w:highlight w:val="yellow"/>
          <w:lang w:val="en-US" w:eastAsia="zh-CN"/>
        </w:rPr>
        <w:t>营业执照</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00000000"/>
    <w:rsid w:val="04803322"/>
    <w:rsid w:val="07C827FB"/>
    <w:rsid w:val="09583A65"/>
    <w:rsid w:val="09EA794C"/>
    <w:rsid w:val="0A764C3F"/>
    <w:rsid w:val="0E86188A"/>
    <w:rsid w:val="1380521C"/>
    <w:rsid w:val="15F07F9B"/>
    <w:rsid w:val="166811E3"/>
    <w:rsid w:val="16F77B8B"/>
    <w:rsid w:val="16FC471D"/>
    <w:rsid w:val="29652F79"/>
    <w:rsid w:val="29FC0ADF"/>
    <w:rsid w:val="2DDE01C9"/>
    <w:rsid w:val="2F911A4F"/>
    <w:rsid w:val="2FC92830"/>
    <w:rsid w:val="422D4EA2"/>
    <w:rsid w:val="480B7A46"/>
    <w:rsid w:val="4BF21067"/>
    <w:rsid w:val="4C422DBB"/>
    <w:rsid w:val="4E014DAD"/>
    <w:rsid w:val="4EA12E40"/>
    <w:rsid w:val="5180327A"/>
    <w:rsid w:val="56BC25FF"/>
    <w:rsid w:val="5E4008A1"/>
    <w:rsid w:val="602F04A2"/>
    <w:rsid w:val="605512B6"/>
    <w:rsid w:val="608B1EBF"/>
    <w:rsid w:val="662368FF"/>
    <w:rsid w:val="669929BC"/>
    <w:rsid w:val="68CF3BC2"/>
    <w:rsid w:val="6A53447E"/>
    <w:rsid w:val="6D6379AF"/>
    <w:rsid w:val="70D0451A"/>
    <w:rsid w:val="71F41F08"/>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0"/>
    <w:rPr>
      <w:color w:val="0000FF"/>
      <w:u w:val="single"/>
    </w:rPr>
  </w:style>
  <w:style w:type="paragraph" w:customStyle="1" w:styleId="12">
    <w:name w:val="标4"/>
    <w:basedOn w:val="13"/>
    <w:next w:val="1"/>
    <w:qFormat/>
    <w:uiPriority w:val="99"/>
    <w:pPr>
      <w:ind w:firstLine="560"/>
      <w:jc w:val="left"/>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6"/>
    <w:qFormat/>
    <w:uiPriority w:val="99"/>
    <w:pPr>
      <w:adjustRightInd w:val="0"/>
      <w:spacing w:beforeLines="50" w:afterLines="50"/>
    </w:pPr>
    <w:rPr>
      <w:kern w:val="24"/>
      <w:sz w:val="30"/>
      <w:szCs w:val="24"/>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2978</Words>
  <Characters>3127</Characters>
  <Lines>0</Lines>
  <Paragraphs>0</Paragraphs>
  <TotalTime>1</TotalTime>
  <ScaleCrop>false</ScaleCrop>
  <LinksUpToDate>false</LinksUpToDate>
  <CharactersWithSpaces>3915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2024-11-22T15:43:43Z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C8DB9E728168401D9F1FC3C709A971D3_13</vt:lpwstr>
  </property>
</Properties>
</file>