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val="en-US" w:eastAsia="zh-CN"/>
        </w:rPr>
        <w:t>零星</w:t>
      </w: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我公</w:t>
      </w:r>
      <w:r>
        <w:rPr>
          <w:rFonts w:hint="eastAsia" w:ascii="仿宋" w:hAnsi="仿宋" w:eastAsia="仿宋" w:cs="仿宋"/>
          <w:snapToGrid/>
          <w:color w:val="auto"/>
          <w:sz w:val="28"/>
          <w:szCs w:val="28"/>
          <w:lang w:val="en-US" w:eastAsia="zh-CN"/>
        </w:rPr>
        <w:t>司拟进行常州市经开区东郡项目桩基础工程场平劳务分包零星采购进行竞争谈判采购。</w:t>
      </w:r>
    </w:p>
    <w:p w14:paraId="7C947CAA">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采购编号：ZMCJ-LXCG-2025-CZ-0014</w:t>
      </w:r>
    </w:p>
    <w:p w14:paraId="4CC5859C">
      <w:pPr>
        <w:pStyle w:val="12"/>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714D6D6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项目名称</w:t>
      </w:r>
      <w:r>
        <w:rPr>
          <w:rFonts w:hint="eastAsia" w:ascii="仿宋" w:hAnsi="仿宋" w:eastAsia="仿宋" w:cs="仿宋"/>
          <w:snapToGrid/>
          <w:color w:val="auto"/>
          <w:sz w:val="28"/>
          <w:szCs w:val="28"/>
          <w:lang w:val="en-US" w:eastAsia="zh-CN"/>
        </w:rPr>
        <w:t>：常州市经开区东郡项目桩基础工程</w:t>
      </w:r>
    </w:p>
    <w:p w14:paraId="7313EFF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场</w:t>
      </w:r>
      <w:r>
        <w:rPr>
          <w:rFonts w:hint="eastAsia" w:ascii="仿宋" w:hAnsi="仿宋" w:eastAsia="仿宋" w:cs="仿宋"/>
          <w:snapToGrid/>
          <w:color w:val="auto"/>
          <w:sz w:val="28"/>
          <w:szCs w:val="28"/>
          <w:lang w:val="en-US" w:eastAsia="zh-CN"/>
        </w:rPr>
        <w:t>平劳务</w:t>
      </w:r>
      <w:r>
        <w:rPr>
          <w:rFonts w:hint="eastAsia" w:ascii="仿宋" w:hAnsi="仿宋" w:eastAsia="仿宋" w:cs="仿宋"/>
          <w:snapToGrid/>
          <w:color w:val="auto"/>
          <w:sz w:val="28"/>
          <w:szCs w:val="28"/>
          <w:lang w:val="en-US" w:eastAsia="zh-CN"/>
        </w:rPr>
        <w:t>分包（详见报价清单）</w:t>
      </w:r>
    </w:p>
    <w:p w14:paraId="7273C66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 xml:space="preserve">：常州市经开区山水路南侧 </w:t>
      </w:r>
    </w:p>
    <w:p w14:paraId="42C75C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2"/>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0F3633B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参与报价企业必须是具有相应经营范围的独立法人单位，有合格有效的营业执照、劳务资质、安全生产许可证</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lang w:val="en-US" w:eastAsia="zh-CN"/>
        </w:rPr>
        <w:t>施工现场需配备专职安全员一名（持有安全员C证）</w:t>
      </w:r>
      <w:r>
        <w:rPr>
          <w:rFonts w:hint="eastAsia" w:ascii="仿宋" w:hAnsi="仿宋" w:eastAsia="仿宋" w:cs="仿宋"/>
          <w:snapToGrid/>
          <w:color w:val="auto"/>
          <w:sz w:val="28"/>
          <w:szCs w:val="28"/>
        </w:rPr>
        <w:t>、并在人员、资金等方面具有相应的实力。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FD2453">
      <w:pPr>
        <w:pStyle w:val="12"/>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三、报名方式</w:t>
      </w:r>
    </w:p>
    <w:p w14:paraId="4454475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凡有意参加者，请于2025年</w:t>
      </w:r>
      <w:r>
        <w:rPr>
          <w:rFonts w:hint="eastAsia" w:ascii="仿宋" w:hAnsi="仿宋" w:eastAsia="仿宋" w:cs="仿宋"/>
          <w:snapToGrid/>
          <w:color w:val="auto"/>
          <w:sz w:val="28"/>
          <w:szCs w:val="28"/>
          <w:lang w:val="en-US" w:eastAsia="zh-CN"/>
        </w:rPr>
        <w:t>11</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24</w:t>
      </w:r>
      <w:r>
        <w:rPr>
          <w:rFonts w:hint="eastAsia" w:ascii="仿宋" w:hAnsi="仿宋" w:eastAsia="仿宋" w:cs="仿宋"/>
          <w:snapToGrid/>
          <w:color w:val="auto"/>
          <w:sz w:val="28"/>
          <w:szCs w:val="28"/>
          <w:lang w:eastAsia="zh-CN"/>
        </w:rPr>
        <w:t>日上午10：</w:t>
      </w:r>
      <w:r>
        <w:rPr>
          <w:rFonts w:hint="eastAsia" w:ascii="仿宋" w:hAnsi="仿宋" w:eastAsia="仿宋" w:cs="仿宋"/>
          <w:snapToGrid/>
          <w:color w:val="auto"/>
          <w:sz w:val="28"/>
          <w:szCs w:val="28"/>
          <w:lang w:val="en-US" w:eastAsia="zh-CN"/>
        </w:rPr>
        <w:t>00</w:t>
      </w:r>
      <w:r>
        <w:rPr>
          <w:rFonts w:hint="eastAsia" w:ascii="仿宋" w:hAnsi="仿宋" w:eastAsia="仿宋" w:cs="仿宋"/>
          <w:snapToGrid/>
          <w:color w:val="auto"/>
          <w:sz w:val="28"/>
          <w:szCs w:val="28"/>
          <w:lang w:eastAsia="zh-CN"/>
        </w:rPr>
        <w:t>前将加盖单位公章的报价单投递或扫描件发送至相关联系人。</w:t>
      </w:r>
    </w:p>
    <w:p w14:paraId="6E89BFF9">
      <w:pPr>
        <w:pStyle w:val="12"/>
        <w:spacing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三、报价人需提供以下材料 </w:t>
      </w:r>
    </w:p>
    <w:p w14:paraId="02338B0D">
      <w:pPr>
        <w:kinsoku/>
        <w:autoSpaceDE/>
        <w:autoSpaceDN/>
        <w:adjustRightInd/>
        <w:snapToGrid/>
        <w:spacing w:line="360" w:lineRule="auto"/>
        <w:ind w:right="11" w:firstLine="60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z w:val="30"/>
          <w:szCs w:val="30"/>
        </w:rPr>
        <w:t>资格证明文件</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报价明细（必须加盖单位公章）。</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napToGrid/>
          <w:color w:val="auto"/>
          <w:sz w:val="28"/>
          <w:szCs w:val="28"/>
          <w:lang w:val="en-US" w:eastAsia="zh-CN"/>
        </w:rPr>
        <w:t>投标报名</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常州分公司</w:t>
      </w:r>
    </w:p>
    <w:p w14:paraId="4DCE7611">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  址：江苏省</w:t>
      </w:r>
      <w:r>
        <w:rPr>
          <w:rFonts w:hint="eastAsia" w:ascii="仿宋" w:hAnsi="仿宋" w:eastAsia="仿宋" w:cs="仿宋"/>
          <w:snapToGrid/>
          <w:color w:val="auto"/>
          <w:sz w:val="28"/>
          <w:szCs w:val="28"/>
          <w:lang w:val="en-US" w:eastAsia="zh-CN"/>
        </w:rPr>
        <w:t>常州</w:t>
      </w:r>
      <w:r>
        <w:rPr>
          <w:rFonts w:hint="eastAsia" w:ascii="仿宋" w:hAnsi="仿宋" w:eastAsia="仿宋" w:cs="仿宋"/>
          <w:snapToGrid/>
          <w:color w:val="auto"/>
          <w:sz w:val="28"/>
          <w:szCs w:val="28"/>
          <w:lang w:eastAsia="zh-CN"/>
        </w:rPr>
        <w:t>市</w:t>
      </w:r>
      <w:r>
        <w:rPr>
          <w:rFonts w:hint="eastAsia" w:ascii="仿宋" w:hAnsi="仿宋" w:eastAsia="仿宋" w:cs="仿宋"/>
          <w:snapToGrid/>
          <w:color w:val="auto"/>
          <w:sz w:val="28"/>
          <w:szCs w:val="28"/>
          <w:lang w:val="en-US" w:eastAsia="zh-CN"/>
        </w:rPr>
        <w:t>和电路10号</w:t>
      </w:r>
    </w:p>
    <w:p w14:paraId="595974FD">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许工</w:t>
      </w:r>
      <w:r>
        <w:rPr>
          <w:rFonts w:hint="eastAsia" w:ascii="仿宋" w:hAnsi="仿宋" w:eastAsia="仿宋" w:cs="仿宋"/>
          <w:snapToGrid/>
          <w:color w:val="auto"/>
          <w:sz w:val="28"/>
          <w:szCs w:val="28"/>
          <w:lang w:eastAsia="zh-CN"/>
        </w:rPr>
        <w:t>             联系电话：</w:t>
      </w:r>
      <w:r>
        <w:rPr>
          <w:rFonts w:hint="eastAsia" w:ascii="仿宋" w:hAnsi="仿宋" w:eastAsia="仿宋" w:cs="仿宋"/>
          <w:snapToGrid/>
          <w:color w:val="auto"/>
          <w:sz w:val="28"/>
          <w:szCs w:val="28"/>
          <w:lang w:val="en-US" w:eastAsia="zh-CN"/>
        </w:rPr>
        <w:t>13775110623</w:t>
      </w:r>
    </w:p>
    <w:p w14:paraId="5ECE960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p>
    <w:p w14:paraId="3F741DE4">
      <w:pPr>
        <w:kinsoku/>
        <w:autoSpaceDE/>
        <w:autoSpaceDN/>
        <w:adjustRightInd/>
        <w:snapToGrid/>
        <w:spacing w:line="360" w:lineRule="auto"/>
        <w:ind w:right="12"/>
        <w:jc w:val="right"/>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65F7416E">
      <w:pPr>
        <w:pStyle w:val="2"/>
        <w:tabs>
          <w:tab w:val="left" w:pos="2708"/>
          <w:tab w:val="center" w:pos="4213"/>
        </w:tabs>
        <w:spacing w:line="360" w:lineRule="auto"/>
        <w:jc w:val="center"/>
        <w:rPr>
          <w:rFonts w:hint="eastAsia" w:ascii="仿宋" w:hAnsi="仿宋" w:eastAsia="仿宋" w:cs="仿宋"/>
          <w:b w:val="0"/>
          <w:snapToGrid/>
          <w:color w:val="FF0000"/>
          <w:sz w:val="28"/>
          <w:szCs w:val="28"/>
          <w:lang w:val="en-US" w:eastAsia="zh-CN"/>
        </w:rPr>
      </w:pPr>
      <w:r>
        <w:rPr>
          <w:rFonts w:hint="eastAsia" w:ascii="仿宋" w:hAnsi="仿宋" w:eastAsia="仿宋" w:cs="仿宋"/>
          <w:b w:val="0"/>
          <w:snapToGrid/>
          <w:sz w:val="28"/>
          <w:szCs w:val="28"/>
          <w:lang w:val="en-US" w:eastAsia="zh-CN"/>
        </w:rPr>
        <w:t xml:space="preserve">                                  </w:t>
      </w:r>
      <w:r>
        <w:rPr>
          <w:rFonts w:hint="eastAsia" w:ascii="仿宋" w:hAnsi="仿宋" w:eastAsia="仿宋" w:cs="仿宋"/>
          <w:b w:val="0"/>
          <w:snapToGrid/>
          <w:color w:val="auto"/>
          <w:sz w:val="28"/>
          <w:szCs w:val="28"/>
          <w:lang w:val="en-US" w:eastAsia="zh-CN"/>
        </w:rPr>
        <w:t xml:space="preserve">        </w:t>
      </w:r>
      <w:r>
        <w:rPr>
          <w:rFonts w:hint="eastAsia" w:ascii="仿宋" w:hAnsi="仿宋" w:eastAsia="仿宋" w:cs="仿宋"/>
          <w:b w:val="0"/>
          <w:snapToGrid/>
          <w:color w:val="auto"/>
          <w:sz w:val="28"/>
          <w:szCs w:val="28"/>
          <w:lang w:eastAsia="zh-CN"/>
        </w:rPr>
        <w:t>202</w:t>
      </w:r>
      <w:r>
        <w:rPr>
          <w:rFonts w:hint="eastAsia" w:ascii="仿宋" w:hAnsi="仿宋" w:eastAsia="仿宋" w:cs="仿宋"/>
          <w:b w:val="0"/>
          <w:snapToGrid/>
          <w:color w:val="auto"/>
          <w:sz w:val="28"/>
          <w:szCs w:val="28"/>
          <w:lang w:val="en-US" w:eastAsia="zh-CN"/>
        </w:rPr>
        <w:t>5</w:t>
      </w:r>
      <w:r>
        <w:rPr>
          <w:rFonts w:hint="eastAsia" w:ascii="仿宋" w:hAnsi="仿宋" w:eastAsia="仿宋" w:cs="仿宋"/>
          <w:b w:val="0"/>
          <w:snapToGrid/>
          <w:color w:val="auto"/>
          <w:sz w:val="28"/>
          <w:szCs w:val="28"/>
          <w:lang w:eastAsia="zh-CN"/>
        </w:rPr>
        <w:t>年</w:t>
      </w:r>
      <w:r>
        <w:rPr>
          <w:rFonts w:hint="eastAsia" w:ascii="仿宋" w:hAnsi="仿宋" w:eastAsia="仿宋" w:cs="仿宋"/>
          <w:b w:val="0"/>
          <w:snapToGrid/>
          <w:color w:val="auto"/>
          <w:sz w:val="28"/>
          <w:szCs w:val="28"/>
          <w:lang w:val="en-US" w:eastAsia="zh-CN"/>
        </w:rPr>
        <w:t>11</w:t>
      </w:r>
      <w:r>
        <w:rPr>
          <w:rFonts w:hint="eastAsia" w:ascii="仿宋" w:hAnsi="仿宋" w:eastAsia="仿宋" w:cs="仿宋"/>
          <w:b w:val="0"/>
          <w:snapToGrid/>
          <w:color w:val="auto"/>
          <w:sz w:val="28"/>
          <w:szCs w:val="28"/>
          <w:lang w:eastAsia="zh-CN"/>
        </w:rPr>
        <w:t>月</w:t>
      </w:r>
      <w:r>
        <w:rPr>
          <w:rFonts w:hint="eastAsia" w:ascii="仿宋" w:hAnsi="仿宋" w:eastAsia="仿宋" w:cs="仿宋"/>
          <w:b w:val="0"/>
          <w:snapToGrid/>
          <w:color w:val="auto"/>
          <w:sz w:val="28"/>
          <w:szCs w:val="28"/>
          <w:lang w:val="en-US" w:eastAsia="zh-CN"/>
        </w:rPr>
        <w:t>20日</w:t>
      </w:r>
    </w:p>
    <w:p w14:paraId="5EE5EB6E">
      <w:pPr>
        <w:pStyle w:val="3"/>
        <w:spacing w:before="71" w:line="221" w:lineRule="auto"/>
        <w:ind w:left="4740"/>
        <w:outlineLvl w:val="0"/>
        <w:rPr>
          <w:b/>
          <w:bCs/>
          <w:spacing w:val="1"/>
          <w:sz w:val="35"/>
          <w:szCs w:val="35"/>
        </w:rPr>
      </w:pPr>
    </w:p>
    <w:p w14:paraId="4FB8D2AB">
      <w:pPr>
        <w:pStyle w:val="3"/>
        <w:spacing w:before="71" w:line="221" w:lineRule="auto"/>
        <w:ind w:left="4740"/>
        <w:outlineLvl w:val="0"/>
        <w:rPr>
          <w:b/>
          <w:bCs/>
          <w:spacing w:val="1"/>
          <w:sz w:val="35"/>
          <w:szCs w:val="35"/>
        </w:rPr>
      </w:pPr>
    </w:p>
    <w:p w14:paraId="714B8C56">
      <w:pPr>
        <w:pStyle w:val="3"/>
        <w:spacing w:before="71" w:line="221" w:lineRule="auto"/>
        <w:ind w:left="4740"/>
        <w:outlineLvl w:val="0"/>
        <w:rPr>
          <w:b/>
          <w:bCs/>
          <w:spacing w:val="1"/>
          <w:sz w:val="35"/>
          <w:szCs w:val="35"/>
        </w:rPr>
      </w:pPr>
    </w:p>
    <w:p w14:paraId="62B796DA">
      <w:pPr>
        <w:pStyle w:val="3"/>
        <w:spacing w:before="71" w:line="221" w:lineRule="auto"/>
        <w:ind w:left="4740"/>
        <w:outlineLvl w:val="0"/>
        <w:rPr>
          <w:b/>
          <w:bCs/>
          <w:spacing w:val="1"/>
          <w:sz w:val="35"/>
          <w:szCs w:val="35"/>
        </w:rPr>
      </w:pPr>
    </w:p>
    <w:p w14:paraId="32DCA658">
      <w:pPr>
        <w:pStyle w:val="3"/>
        <w:spacing w:before="71" w:line="221" w:lineRule="auto"/>
        <w:ind w:left="4740"/>
        <w:outlineLvl w:val="0"/>
        <w:rPr>
          <w:b/>
          <w:bCs/>
          <w:spacing w:val="1"/>
          <w:sz w:val="35"/>
          <w:szCs w:val="35"/>
        </w:rPr>
      </w:pPr>
    </w:p>
    <w:p w14:paraId="61593738">
      <w:pPr>
        <w:pStyle w:val="3"/>
        <w:spacing w:before="71" w:line="221" w:lineRule="auto"/>
        <w:ind w:left="4740"/>
        <w:outlineLvl w:val="0"/>
        <w:rPr>
          <w:b/>
          <w:bCs/>
          <w:spacing w:val="1"/>
          <w:sz w:val="35"/>
          <w:szCs w:val="35"/>
        </w:rPr>
      </w:pPr>
      <w:bookmarkStart w:id="0" w:name="_GoBack"/>
      <w:bookmarkEnd w:id="0"/>
    </w:p>
    <w:p w14:paraId="74CCB82C">
      <w:pPr>
        <w:pStyle w:val="3"/>
        <w:spacing w:before="71" w:line="221" w:lineRule="auto"/>
        <w:ind w:left="4740"/>
        <w:outlineLvl w:val="0"/>
        <w:rPr>
          <w:b/>
          <w:bCs/>
          <w:spacing w:val="1"/>
          <w:sz w:val="35"/>
          <w:szCs w:val="35"/>
        </w:rPr>
      </w:pPr>
    </w:p>
    <w:p w14:paraId="61B59E67">
      <w:pPr>
        <w:pStyle w:val="3"/>
        <w:spacing w:before="71" w:line="221" w:lineRule="auto"/>
        <w:ind w:left="4740"/>
        <w:outlineLvl w:val="0"/>
        <w:rPr>
          <w:b/>
          <w:bCs/>
          <w:spacing w:val="1"/>
          <w:sz w:val="35"/>
          <w:szCs w:val="35"/>
        </w:rPr>
      </w:pPr>
    </w:p>
    <w:p w14:paraId="63531B7B">
      <w:pPr>
        <w:pStyle w:val="3"/>
        <w:spacing w:before="71" w:line="221" w:lineRule="auto"/>
        <w:ind w:left="4740"/>
        <w:outlineLvl w:val="0"/>
        <w:rPr>
          <w:b/>
          <w:bCs/>
          <w:spacing w:val="1"/>
          <w:sz w:val="35"/>
          <w:szCs w:val="35"/>
        </w:rPr>
      </w:pPr>
    </w:p>
    <w:p w14:paraId="0CEE8140">
      <w:pPr>
        <w:pStyle w:val="3"/>
        <w:spacing w:before="71" w:line="221" w:lineRule="auto"/>
        <w:ind w:left="4740"/>
        <w:outlineLvl w:val="0"/>
        <w:rPr>
          <w:b/>
          <w:bCs/>
          <w:spacing w:val="1"/>
          <w:sz w:val="35"/>
          <w:szCs w:val="35"/>
        </w:rPr>
      </w:pPr>
    </w:p>
    <w:p w14:paraId="69E4DF5E">
      <w:pPr>
        <w:pStyle w:val="3"/>
        <w:spacing w:before="71" w:line="221" w:lineRule="auto"/>
        <w:ind w:left="4740"/>
        <w:outlineLvl w:val="0"/>
        <w:rPr>
          <w:b/>
          <w:bCs/>
          <w:spacing w:val="1"/>
          <w:sz w:val="35"/>
          <w:szCs w:val="35"/>
        </w:rPr>
      </w:pPr>
    </w:p>
    <w:p w14:paraId="11B4CDE6">
      <w:pPr>
        <w:pStyle w:val="3"/>
        <w:spacing w:before="71" w:line="221" w:lineRule="auto"/>
        <w:ind w:left="4740"/>
        <w:outlineLvl w:val="0"/>
        <w:rPr>
          <w:b/>
          <w:bCs/>
          <w:spacing w:val="1"/>
          <w:sz w:val="35"/>
          <w:szCs w:val="35"/>
        </w:rPr>
      </w:pPr>
    </w:p>
    <w:p w14:paraId="12F7CF29">
      <w:pPr>
        <w:pStyle w:val="3"/>
        <w:spacing w:before="71" w:line="221" w:lineRule="auto"/>
        <w:ind w:left="4740"/>
        <w:outlineLvl w:val="0"/>
        <w:rPr>
          <w:b/>
          <w:bCs/>
          <w:spacing w:val="1"/>
          <w:sz w:val="35"/>
          <w:szCs w:val="35"/>
        </w:rPr>
      </w:pPr>
    </w:p>
    <w:p w14:paraId="1B288AA3">
      <w:pPr>
        <w:pStyle w:val="3"/>
        <w:spacing w:before="71" w:line="221" w:lineRule="auto"/>
        <w:ind w:left="4740"/>
        <w:outlineLvl w:val="0"/>
        <w:rPr>
          <w:b/>
          <w:bCs/>
          <w:spacing w:val="1"/>
          <w:sz w:val="35"/>
          <w:szCs w:val="35"/>
        </w:rPr>
      </w:pPr>
    </w:p>
    <w:p w14:paraId="22BF9363">
      <w:pPr>
        <w:pStyle w:val="3"/>
        <w:spacing w:before="71" w:line="221" w:lineRule="auto"/>
        <w:ind w:left="4740"/>
        <w:outlineLvl w:val="0"/>
        <w:rPr>
          <w:b/>
          <w:bCs/>
          <w:spacing w:val="1"/>
          <w:sz w:val="35"/>
          <w:szCs w:val="35"/>
        </w:rPr>
      </w:pPr>
    </w:p>
    <w:p w14:paraId="076BAABF">
      <w:pPr>
        <w:pStyle w:val="3"/>
        <w:spacing w:before="71" w:line="221" w:lineRule="auto"/>
        <w:ind w:left="4740"/>
        <w:outlineLvl w:val="0"/>
        <w:rPr>
          <w:b/>
          <w:bCs/>
          <w:spacing w:val="1"/>
          <w:sz w:val="35"/>
          <w:szCs w:val="35"/>
        </w:rPr>
      </w:pPr>
    </w:p>
    <w:p w14:paraId="1D1691FA">
      <w:pPr>
        <w:pStyle w:val="3"/>
        <w:spacing w:before="71" w:line="221" w:lineRule="auto"/>
        <w:ind w:left="4740"/>
        <w:outlineLvl w:val="0"/>
        <w:rPr>
          <w:b/>
          <w:bCs/>
          <w:spacing w:val="1"/>
          <w:sz w:val="35"/>
          <w:szCs w:val="35"/>
        </w:rPr>
      </w:pPr>
    </w:p>
    <w:p w14:paraId="134481C0">
      <w:pPr>
        <w:pStyle w:val="3"/>
        <w:spacing w:before="71" w:line="221" w:lineRule="auto"/>
        <w:ind w:left="4740"/>
        <w:outlineLvl w:val="0"/>
        <w:rPr>
          <w:b/>
          <w:bCs/>
          <w:spacing w:val="1"/>
          <w:sz w:val="35"/>
          <w:szCs w:val="35"/>
        </w:rPr>
      </w:pPr>
    </w:p>
    <w:p w14:paraId="194D8132">
      <w:pPr>
        <w:pStyle w:val="3"/>
        <w:spacing w:before="71" w:line="221" w:lineRule="auto"/>
        <w:jc w:val="center"/>
        <w:outlineLvl w:val="0"/>
        <w:rPr>
          <w:b/>
          <w:bCs/>
          <w:spacing w:val="1"/>
          <w:sz w:val="35"/>
          <w:szCs w:val="35"/>
        </w:rPr>
      </w:pPr>
    </w:p>
    <w:p w14:paraId="26BC8091">
      <w:pPr>
        <w:pStyle w:val="3"/>
        <w:spacing w:before="71" w:line="221" w:lineRule="auto"/>
        <w:jc w:val="center"/>
        <w:outlineLvl w:val="0"/>
        <w:rPr>
          <w:b/>
          <w:bCs/>
          <w:spacing w:val="1"/>
          <w:sz w:val="35"/>
          <w:szCs w:val="35"/>
        </w:rPr>
      </w:pPr>
    </w:p>
    <w:p w14:paraId="0B9C8A39">
      <w:pPr>
        <w:pStyle w:val="3"/>
        <w:spacing w:before="71" w:line="24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常州市经开区东郡项目桩基础工程</w:t>
      </w:r>
    </w:p>
    <w:p w14:paraId="59E04999">
      <w:pPr>
        <w:pStyle w:val="3"/>
        <w:spacing w:before="71" w:line="24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场平劳务</w:t>
      </w:r>
      <w:r>
        <w:rPr>
          <w:rFonts w:hint="eastAsia" w:ascii="仿宋" w:hAnsi="仿宋" w:eastAsia="仿宋" w:cs="仿宋"/>
          <w:b/>
          <w:bCs/>
          <w:snapToGrid/>
          <w:color w:val="auto"/>
          <w:kern w:val="2"/>
          <w:sz w:val="36"/>
          <w:szCs w:val="36"/>
          <w:lang w:val="en-US" w:eastAsia="zh-CN" w:bidi="ar-SA"/>
        </w:rPr>
        <w:t>分包报价单</w:t>
      </w:r>
    </w:p>
    <w:tbl>
      <w:tblPr>
        <w:tblStyle w:val="9"/>
        <w:tblW w:w="10101" w:type="dxa"/>
        <w:jc w:val="center"/>
        <w:tblLayout w:type="autofit"/>
        <w:tblCellMar>
          <w:top w:w="0" w:type="dxa"/>
          <w:left w:w="108" w:type="dxa"/>
          <w:bottom w:w="0" w:type="dxa"/>
          <w:right w:w="108" w:type="dxa"/>
        </w:tblCellMar>
      </w:tblPr>
      <w:tblGrid>
        <w:gridCol w:w="750"/>
        <w:gridCol w:w="1316"/>
        <w:gridCol w:w="3867"/>
        <w:gridCol w:w="741"/>
        <w:gridCol w:w="947"/>
        <w:gridCol w:w="1196"/>
        <w:gridCol w:w="1284"/>
      </w:tblGrid>
      <w:tr w14:paraId="468AB34B">
        <w:tblPrEx>
          <w:tblCellMar>
            <w:top w:w="0" w:type="dxa"/>
            <w:left w:w="108" w:type="dxa"/>
            <w:bottom w:w="0" w:type="dxa"/>
            <w:right w:w="108" w:type="dxa"/>
          </w:tblCellMar>
        </w:tblPrEx>
        <w:trPr>
          <w:trHeight w:val="388" w:hRule="atLeast"/>
          <w:jc w:val="center"/>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3407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D560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3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62B8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项目特征描述</w:t>
            </w:r>
          </w:p>
        </w:tc>
        <w:tc>
          <w:tcPr>
            <w:tcW w:w="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9C17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计量</w:t>
            </w:r>
            <w:r>
              <w:rPr>
                <w:rFonts w:hint="eastAsia" w:ascii="仿宋" w:hAnsi="仿宋" w:eastAsia="仿宋" w:cs="仿宋"/>
                <w:kern w:val="0"/>
                <w:sz w:val="24"/>
                <w:szCs w:val="24"/>
              </w:rPr>
              <w:br w:type="textWrapping"/>
            </w:r>
            <w:r>
              <w:rPr>
                <w:rFonts w:hint="eastAsia" w:ascii="仿宋" w:hAnsi="仿宋" w:eastAsia="仿宋" w:cs="仿宋"/>
                <w:kern w:val="0"/>
                <w:sz w:val="24"/>
                <w:szCs w:val="24"/>
              </w:rPr>
              <w:t>单位</w:t>
            </w:r>
          </w:p>
        </w:tc>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CCD2A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工程量</w:t>
            </w:r>
          </w:p>
        </w:tc>
        <w:tc>
          <w:tcPr>
            <w:tcW w:w="2480" w:type="dxa"/>
            <w:gridSpan w:val="2"/>
            <w:tcBorders>
              <w:top w:val="single" w:color="auto" w:sz="4" w:space="0"/>
              <w:left w:val="nil"/>
              <w:bottom w:val="single" w:color="auto" w:sz="4" w:space="0"/>
              <w:right w:val="single" w:color="auto" w:sz="4" w:space="0"/>
            </w:tcBorders>
            <w:shd w:val="clear" w:color="auto" w:fill="auto"/>
            <w:vAlign w:val="center"/>
          </w:tcPr>
          <w:p w14:paraId="4BD667B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含税金额（元）</w:t>
            </w:r>
          </w:p>
        </w:tc>
      </w:tr>
      <w:tr w14:paraId="47203366">
        <w:tblPrEx>
          <w:tblCellMar>
            <w:top w:w="0" w:type="dxa"/>
            <w:left w:w="108" w:type="dxa"/>
            <w:bottom w:w="0" w:type="dxa"/>
            <w:right w:w="108" w:type="dxa"/>
          </w:tblCellMar>
        </w:tblPrEx>
        <w:trPr>
          <w:trHeight w:val="428" w:hRule="atLeast"/>
          <w:jc w:val="center"/>
        </w:trPr>
        <w:tc>
          <w:tcPr>
            <w:tcW w:w="750" w:type="dxa"/>
            <w:vMerge w:val="continue"/>
            <w:tcBorders>
              <w:top w:val="single" w:color="auto" w:sz="4" w:space="0"/>
              <w:left w:val="single" w:color="auto" w:sz="4" w:space="0"/>
              <w:bottom w:val="single" w:color="auto" w:sz="4" w:space="0"/>
              <w:right w:val="single" w:color="auto" w:sz="4" w:space="0"/>
            </w:tcBorders>
            <w:vAlign w:val="center"/>
          </w:tcPr>
          <w:p w14:paraId="1D7CD420">
            <w:pPr>
              <w:widowControl/>
              <w:jc w:val="left"/>
              <w:rPr>
                <w:rFonts w:hint="eastAsia" w:ascii="仿宋" w:hAnsi="仿宋" w:eastAsia="仿宋" w:cs="仿宋"/>
                <w:kern w:val="0"/>
                <w:sz w:val="24"/>
                <w:szCs w:val="24"/>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7D429B74">
            <w:pPr>
              <w:widowControl/>
              <w:jc w:val="left"/>
              <w:rPr>
                <w:rFonts w:hint="eastAsia" w:ascii="仿宋" w:hAnsi="仿宋" w:eastAsia="仿宋" w:cs="仿宋"/>
                <w:kern w:val="0"/>
                <w:sz w:val="24"/>
                <w:szCs w:val="24"/>
              </w:rPr>
            </w:pPr>
          </w:p>
        </w:tc>
        <w:tc>
          <w:tcPr>
            <w:tcW w:w="3867" w:type="dxa"/>
            <w:vMerge w:val="continue"/>
            <w:tcBorders>
              <w:top w:val="single" w:color="auto" w:sz="4" w:space="0"/>
              <w:left w:val="single" w:color="auto" w:sz="4" w:space="0"/>
              <w:bottom w:val="single" w:color="auto" w:sz="4" w:space="0"/>
              <w:right w:val="single" w:color="auto" w:sz="4" w:space="0"/>
            </w:tcBorders>
            <w:vAlign w:val="center"/>
          </w:tcPr>
          <w:p w14:paraId="70AEE744">
            <w:pPr>
              <w:widowControl/>
              <w:jc w:val="left"/>
              <w:rPr>
                <w:rFonts w:hint="eastAsia" w:ascii="仿宋" w:hAnsi="仿宋" w:eastAsia="仿宋" w:cs="仿宋"/>
                <w:kern w:val="0"/>
                <w:sz w:val="24"/>
                <w:szCs w:val="24"/>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03BF27E7">
            <w:pPr>
              <w:widowControl/>
              <w:jc w:val="left"/>
              <w:rPr>
                <w:rFonts w:hint="eastAsia" w:ascii="仿宋" w:hAnsi="仿宋" w:eastAsia="仿宋" w:cs="仿宋"/>
                <w:kern w:val="0"/>
                <w:sz w:val="24"/>
                <w:szCs w:val="24"/>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14:paraId="520D8F98">
            <w:pPr>
              <w:widowControl/>
              <w:jc w:val="left"/>
              <w:rPr>
                <w:rFonts w:hint="eastAsia" w:ascii="仿宋" w:hAnsi="仿宋" w:eastAsia="仿宋" w:cs="仿宋"/>
                <w:kern w:val="0"/>
                <w:sz w:val="24"/>
                <w:szCs w:val="24"/>
              </w:rPr>
            </w:pPr>
          </w:p>
        </w:tc>
        <w:tc>
          <w:tcPr>
            <w:tcW w:w="1196" w:type="dxa"/>
            <w:tcBorders>
              <w:top w:val="nil"/>
              <w:left w:val="nil"/>
              <w:bottom w:val="single" w:color="auto" w:sz="4" w:space="0"/>
              <w:right w:val="single" w:color="auto" w:sz="4" w:space="0"/>
            </w:tcBorders>
            <w:shd w:val="clear" w:color="auto" w:fill="auto"/>
            <w:vAlign w:val="center"/>
          </w:tcPr>
          <w:p w14:paraId="726AEC8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综合单价</w:t>
            </w:r>
          </w:p>
        </w:tc>
        <w:tc>
          <w:tcPr>
            <w:tcW w:w="1284" w:type="dxa"/>
            <w:tcBorders>
              <w:top w:val="nil"/>
              <w:left w:val="nil"/>
              <w:bottom w:val="single" w:color="auto" w:sz="4" w:space="0"/>
              <w:right w:val="single" w:color="auto" w:sz="4" w:space="0"/>
            </w:tcBorders>
            <w:shd w:val="clear" w:color="auto" w:fill="auto"/>
            <w:vAlign w:val="center"/>
          </w:tcPr>
          <w:p w14:paraId="621E417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合价</w:t>
            </w:r>
          </w:p>
        </w:tc>
      </w:tr>
      <w:tr w14:paraId="3C4D5433">
        <w:tblPrEx>
          <w:tblCellMar>
            <w:top w:w="0" w:type="dxa"/>
            <w:left w:w="108" w:type="dxa"/>
            <w:bottom w:w="0" w:type="dxa"/>
            <w:right w:w="108" w:type="dxa"/>
          </w:tblCellMar>
        </w:tblPrEx>
        <w:trPr>
          <w:trHeight w:val="1327" w:hRule="atLeast"/>
          <w:jc w:val="center"/>
        </w:trPr>
        <w:tc>
          <w:tcPr>
            <w:tcW w:w="750" w:type="dxa"/>
            <w:tcBorders>
              <w:top w:val="nil"/>
              <w:left w:val="single" w:color="auto" w:sz="4" w:space="0"/>
              <w:bottom w:val="single" w:color="auto" w:sz="4" w:space="0"/>
              <w:right w:val="single" w:color="auto" w:sz="4" w:space="0"/>
            </w:tcBorders>
            <w:shd w:val="clear" w:color="auto" w:fill="auto"/>
            <w:vAlign w:val="center"/>
          </w:tcPr>
          <w:p w14:paraId="0084A1F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16" w:type="dxa"/>
            <w:tcBorders>
              <w:top w:val="nil"/>
              <w:left w:val="nil"/>
              <w:bottom w:val="single" w:color="auto" w:sz="4" w:space="0"/>
              <w:right w:val="single" w:color="auto" w:sz="4" w:space="0"/>
            </w:tcBorders>
            <w:shd w:val="clear" w:color="auto" w:fill="auto"/>
            <w:vAlign w:val="center"/>
          </w:tcPr>
          <w:p w14:paraId="2B5EEE5C">
            <w:pPr>
              <w:widowControl/>
              <w:jc w:val="center"/>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kern w:val="0"/>
                <w:sz w:val="24"/>
                <w:szCs w:val="24"/>
                <w:lang w:val="en-US" w:eastAsia="zh-CN"/>
              </w:rPr>
              <w:t>场平</w:t>
            </w:r>
            <w:r>
              <w:rPr>
                <w:rFonts w:hint="eastAsia" w:ascii="仿宋" w:hAnsi="仿宋" w:eastAsia="仿宋" w:cs="仿宋"/>
                <w:kern w:val="0"/>
                <w:sz w:val="24"/>
                <w:szCs w:val="24"/>
              </w:rPr>
              <w:t>劳务</w:t>
            </w:r>
          </w:p>
        </w:tc>
        <w:tc>
          <w:tcPr>
            <w:tcW w:w="3867" w:type="dxa"/>
            <w:tcBorders>
              <w:top w:val="nil"/>
              <w:left w:val="nil"/>
              <w:bottom w:val="single" w:color="auto" w:sz="4" w:space="0"/>
              <w:right w:val="single" w:color="auto" w:sz="4" w:space="0"/>
            </w:tcBorders>
            <w:shd w:val="clear" w:color="auto" w:fill="auto"/>
            <w:vAlign w:val="center"/>
          </w:tcPr>
          <w:p w14:paraId="77603D81">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场平标准满足现场静压桩施工</w:t>
            </w:r>
            <w:r>
              <w:rPr>
                <w:rFonts w:hint="eastAsia" w:ascii="仿宋" w:hAnsi="仿宋" w:eastAsia="仿宋" w:cs="仿宋"/>
                <w:sz w:val="24"/>
                <w:szCs w:val="24"/>
              </w:rPr>
              <w:t>；</w:t>
            </w:r>
          </w:p>
          <w:p w14:paraId="47919B99">
            <w:pPr>
              <w:widowControl/>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不含施工水电费</w:t>
            </w:r>
            <w:r>
              <w:rPr>
                <w:rFonts w:hint="eastAsia" w:ascii="仿宋" w:hAnsi="仿宋" w:eastAsia="仿宋" w:cs="仿宋"/>
                <w:sz w:val="24"/>
                <w:szCs w:val="24"/>
              </w:rPr>
              <w:t>；</w:t>
            </w:r>
          </w:p>
          <w:p w14:paraId="5BD1C319">
            <w:pPr>
              <w:widowControl/>
              <w:jc w:val="left"/>
              <w:rPr>
                <w:rFonts w:hint="eastAsia" w:ascii="仿宋" w:hAnsi="仿宋" w:eastAsia="仿宋" w:cs="仿宋"/>
                <w:snapToGrid w:val="0"/>
                <w:color w:val="000000"/>
                <w:sz w:val="24"/>
                <w:szCs w:val="24"/>
                <w:lang w:val="en-US" w:eastAsia="en-US" w:bidi="ar-SA"/>
              </w:rPr>
            </w:pPr>
          </w:p>
        </w:tc>
        <w:tc>
          <w:tcPr>
            <w:tcW w:w="741" w:type="dxa"/>
            <w:tcBorders>
              <w:top w:val="nil"/>
              <w:left w:val="nil"/>
              <w:bottom w:val="single" w:color="auto" w:sz="4" w:space="0"/>
              <w:right w:val="single" w:color="auto" w:sz="4" w:space="0"/>
            </w:tcBorders>
            <w:shd w:val="clear" w:color="auto" w:fill="auto"/>
            <w:vAlign w:val="center"/>
          </w:tcPr>
          <w:p w14:paraId="621E6F92">
            <w:pPr>
              <w:widowControl/>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kern w:val="0"/>
                <w:sz w:val="24"/>
                <w:szCs w:val="24"/>
                <w:lang w:val="en-US" w:eastAsia="zh-CN"/>
              </w:rPr>
              <w:t>㎡</w:t>
            </w:r>
          </w:p>
        </w:tc>
        <w:tc>
          <w:tcPr>
            <w:tcW w:w="947" w:type="dxa"/>
            <w:tcBorders>
              <w:top w:val="nil"/>
              <w:left w:val="nil"/>
              <w:bottom w:val="single" w:color="auto" w:sz="4" w:space="0"/>
              <w:right w:val="single" w:color="auto" w:sz="4" w:space="0"/>
            </w:tcBorders>
            <w:shd w:val="clear" w:color="auto" w:fill="auto"/>
            <w:vAlign w:val="center"/>
          </w:tcPr>
          <w:p w14:paraId="4C2FF6DA">
            <w:pPr>
              <w:widowControl/>
              <w:jc w:val="center"/>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kern w:val="0"/>
                <w:sz w:val="24"/>
                <w:szCs w:val="24"/>
                <w:lang w:val="en-US" w:eastAsia="zh-CN"/>
              </w:rPr>
              <w:t>6000</w:t>
            </w:r>
          </w:p>
        </w:tc>
        <w:tc>
          <w:tcPr>
            <w:tcW w:w="1196" w:type="dxa"/>
            <w:tcBorders>
              <w:top w:val="nil"/>
              <w:left w:val="nil"/>
              <w:bottom w:val="single" w:color="auto" w:sz="4" w:space="0"/>
              <w:right w:val="single" w:color="auto" w:sz="4" w:space="0"/>
            </w:tcBorders>
            <w:shd w:val="clear" w:color="auto" w:fill="auto"/>
            <w:vAlign w:val="center"/>
          </w:tcPr>
          <w:p w14:paraId="4F329701">
            <w:pPr>
              <w:widowControl/>
              <w:jc w:val="right"/>
              <w:rPr>
                <w:rFonts w:hint="eastAsia" w:ascii="仿宋" w:hAnsi="仿宋" w:eastAsia="仿宋" w:cs="仿宋"/>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14:paraId="13FA9773">
            <w:pPr>
              <w:widowControl/>
              <w:jc w:val="right"/>
              <w:rPr>
                <w:rFonts w:hint="eastAsia" w:ascii="仿宋" w:hAnsi="仿宋" w:eastAsia="仿宋" w:cs="仿宋"/>
                <w:kern w:val="0"/>
                <w:sz w:val="24"/>
                <w:szCs w:val="24"/>
              </w:rPr>
            </w:pPr>
          </w:p>
        </w:tc>
      </w:tr>
      <w:tr w14:paraId="0ADE68BD">
        <w:tblPrEx>
          <w:tblCellMar>
            <w:top w:w="0" w:type="dxa"/>
            <w:left w:w="108" w:type="dxa"/>
            <w:bottom w:w="0" w:type="dxa"/>
            <w:right w:w="108" w:type="dxa"/>
          </w:tblCellMar>
        </w:tblPrEx>
        <w:trPr>
          <w:trHeight w:val="612" w:hRule="atLeast"/>
          <w:jc w:val="center"/>
        </w:trPr>
        <w:tc>
          <w:tcPr>
            <w:tcW w:w="750" w:type="dxa"/>
            <w:tcBorders>
              <w:top w:val="nil"/>
              <w:left w:val="single" w:color="auto" w:sz="4" w:space="0"/>
              <w:bottom w:val="single" w:color="auto" w:sz="4" w:space="0"/>
              <w:right w:val="single" w:color="auto" w:sz="4" w:space="0"/>
            </w:tcBorders>
            <w:shd w:val="clear" w:color="auto" w:fill="auto"/>
            <w:vAlign w:val="center"/>
          </w:tcPr>
          <w:p w14:paraId="2EF7ABF8">
            <w:pPr>
              <w:widowControl/>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w:t>
            </w:r>
          </w:p>
        </w:tc>
        <w:tc>
          <w:tcPr>
            <w:tcW w:w="6871" w:type="dxa"/>
            <w:gridSpan w:val="4"/>
            <w:tcBorders>
              <w:top w:val="single" w:color="auto" w:sz="4" w:space="0"/>
              <w:left w:val="nil"/>
              <w:bottom w:val="single" w:color="auto" w:sz="4" w:space="0"/>
              <w:right w:val="single" w:color="auto" w:sz="4" w:space="0"/>
            </w:tcBorders>
            <w:shd w:val="clear" w:color="auto" w:fill="auto"/>
            <w:vAlign w:val="center"/>
          </w:tcPr>
          <w:p w14:paraId="06EB7E44">
            <w:pPr>
              <w:widowControl/>
              <w:jc w:val="center"/>
              <w:rPr>
                <w:rFonts w:hint="eastAsia" w:ascii="仿宋" w:hAnsi="仿宋" w:eastAsia="仿宋" w:cs="仿宋"/>
                <w:bCs/>
                <w:kern w:val="0"/>
                <w:sz w:val="24"/>
                <w:szCs w:val="24"/>
              </w:rPr>
            </w:pPr>
            <w:r>
              <w:rPr>
                <w:rFonts w:hint="eastAsia" w:ascii="仿宋" w:hAnsi="仿宋" w:eastAsia="仿宋" w:cs="仿宋"/>
                <w:b/>
                <w:bCs w:val="0"/>
                <w:kern w:val="0"/>
                <w:sz w:val="24"/>
                <w:szCs w:val="24"/>
              </w:rPr>
              <w:t>含税价款合计</w:t>
            </w:r>
          </w:p>
        </w:tc>
        <w:tc>
          <w:tcPr>
            <w:tcW w:w="24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A0DE7E6">
            <w:pPr>
              <w:widowControl/>
              <w:jc w:val="center"/>
              <w:rPr>
                <w:rFonts w:hint="eastAsia" w:ascii="仿宋" w:hAnsi="仿宋" w:eastAsia="仿宋" w:cs="仿宋"/>
                <w:bCs/>
                <w:kern w:val="0"/>
                <w:sz w:val="24"/>
                <w:szCs w:val="24"/>
              </w:rPr>
            </w:pPr>
          </w:p>
        </w:tc>
      </w:tr>
    </w:tbl>
    <w:p w14:paraId="54A20702">
      <w:pPr>
        <w:tabs>
          <w:tab w:val="left" w:pos="1440"/>
        </w:tabs>
        <w:spacing w:line="360" w:lineRule="auto"/>
        <w:rPr>
          <w:rFonts w:hint="eastAsia" w:ascii="仿宋" w:hAnsi="仿宋" w:eastAsia="仿宋" w:cs="仿宋"/>
          <w:b/>
          <w:bCs/>
          <w:color w:val="auto"/>
          <w:sz w:val="21"/>
          <w:szCs w:val="21"/>
        </w:rPr>
      </w:pPr>
    </w:p>
    <w:p w14:paraId="64A685CB">
      <w:pPr>
        <w:tabs>
          <w:tab w:val="left" w:pos="144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注：1.以上报价是否含税：是</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sym w:font="Wingdings" w:char="00A8"/>
      </w:r>
      <w:r>
        <w:rPr>
          <w:rFonts w:hint="eastAsia" w:ascii="仿宋" w:hAnsi="仿宋" w:eastAsia="仿宋" w:cs="仿宋"/>
          <w:b/>
          <w:bCs/>
          <w:color w:val="auto"/>
          <w:sz w:val="24"/>
          <w:szCs w:val="24"/>
        </w:rPr>
        <w:t>（税率：</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否</w:t>
      </w:r>
      <w:r>
        <w:rPr>
          <w:rFonts w:hint="eastAsia" w:ascii="仿宋" w:hAnsi="仿宋" w:eastAsia="仿宋" w:cs="仿宋"/>
          <w:b/>
          <w:bCs/>
          <w:color w:val="auto"/>
          <w:sz w:val="24"/>
          <w:szCs w:val="24"/>
        </w:rPr>
        <w:sym w:font="Wingdings" w:char="F0A8"/>
      </w:r>
    </w:p>
    <w:p w14:paraId="112BEC1F">
      <w:pPr>
        <w:tabs>
          <w:tab w:val="left" w:pos="1440"/>
        </w:tabs>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2.</w:t>
      </w:r>
      <w:r>
        <w:rPr>
          <w:rFonts w:hint="eastAsia" w:ascii="仿宋" w:hAnsi="仿宋" w:eastAsia="仿宋" w:cs="仿宋"/>
          <w:b/>
          <w:bCs/>
          <w:color w:val="auto"/>
          <w:sz w:val="24"/>
          <w:szCs w:val="24"/>
        </w:rPr>
        <w:t>以上材料报价有效期为</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天。</w:t>
      </w:r>
    </w:p>
    <w:p w14:paraId="21F1CD51">
      <w:pPr>
        <w:pStyle w:val="3"/>
        <w:numPr>
          <w:ilvl w:val="0"/>
          <w:numId w:val="0"/>
        </w:numPr>
        <w:spacing w:before="71" w:line="360" w:lineRule="auto"/>
        <w:jc w:val="left"/>
        <w:outlineLvl w:val="0"/>
        <w:rPr>
          <w:rFonts w:hint="eastAsia" w:ascii="仿宋" w:hAnsi="仿宋" w:eastAsia="仿宋" w:cs="仿宋"/>
          <w:b/>
          <w:bCs/>
          <w:snapToGrid/>
          <w:color w:val="auto"/>
          <w:kern w:val="2"/>
          <w:sz w:val="24"/>
          <w:szCs w:val="24"/>
          <w:lang w:val="en-US" w:eastAsia="zh-CN" w:bidi="ar-SA"/>
        </w:rPr>
      </w:pPr>
      <w:r>
        <w:rPr>
          <w:rFonts w:hint="eastAsia" w:ascii="仿宋" w:hAnsi="仿宋" w:eastAsia="仿宋" w:cs="仿宋"/>
          <w:b/>
          <w:bCs/>
          <w:snapToGrid/>
          <w:color w:val="auto"/>
          <w:kern w:val="2"/>
          <w:sz w:val="24"/>
          <w:szCs w:val="24"/>
          <w:lang w:val="en-US" w:eastAsia="zh-CN" w:bidi="ar-SA"/>
        </w:rPr>
        <w:t>付款方式：</w:t>
      </w:r>
    </w:p>
    <w:p w14:paraId="094D7B87">
      <w:pPr>
        <w:pStyle w:val="3"/>
        <w:spacing w:before="88" w:line="360" w:lineRule="auto"/>
        <w:ind w:firstLine="482" w:firstLineChars="200"/>
        <w:rPr>
          <w:rFonts w:hint="default"/>
          <w:spacing w:val="23"/>
          <w:sz w:val="24"/>
          <w:szCs w:val="24"/>
          <w:lang w:val="en-US" w:eastAsia="zh-CN"/>
        </w:rPr>
      </w:pPr>
      <w:r>
        <w:rPr>
          <w:rFonts w:hint="eastAsia" w:ascii="仿宋" w:hAnsi="仿宋" w:eastAsia="仿宋" w:cs="仿宋"/>
          <w:b/>
          <w:bCs/>
          <w:snapToGrid/>
          <w:color w:val="auto"/>
          <w:kern w:val="2"/>
          <w:sz w:val="24"/>
          <w:szCs w:val="24"/>
          <w:lang w:val="en-US" w:eastAsia="zh-CN" w:bidi="ar-SA"/>
        </w:rPr>
        <w:t>施工结束并退场后付至完成产值的90%；结算完成满一个月后一次性付清。</w:t>
      </w:r>
    </w:p>
    <w:p w14:paraId="3668FA4D">
      <w:pPr>
        <w:pStyle w:val="3"/>
        <w:spacing w:before="88" w:line="360" w:lineRule="auto"/>
        <w:rPr>
          <w:rFonts w:hint="eastAsia" w:ascii="仿宋" w:hAnsi="仿宋" w:eastAsia="仿宋" w:cs="仿宋"/>
          <w:spacing w:val="23"/>
          <w:sz w:val="28"/>
          <w:szCs w:val="28"/>
          <w:lang w:eastAsia="zh-CN"/>
        </w:rPr>
      </w:pPr>
      <w:r>
        <w:rPr>
          <w:rFonts w:hint="eastAsia" w:ascii="仿宋" w:hAnsi="仿宋" w:eastAsia="仿宋" w:cs="仿宋"/>
          <w:spacing w:val="23"/>
          <w:sz w:val="28"/>
          <w:szCs w:val="28"/>
          <w:lang w:eastAsia="zh-CN"/>
        </w:rPr>
        <w:t xml:space="preserve">报价人（单位盖章）：        </w:t>
      </w:r>
    </w:p>
    <w:p w14:paraId="45D9DCA6">
      <w:pPr>
        <w:pStyle w:val="3"/>
        <w:spacing w:before="88" w:line="360" w:lineRule="auto"/>
        <w:rPr>
          <w:rFonts w:hint="eastAsia" w:ascii="仿宋" w:hAnsi="仿宋" w:eastAsia="仿宋" w:cs="仿宋"/>
          <w:spacing w:val="23"/>
          <w:sz w:val="28"/>
          <w:szCs w:val="28"/>
          <w:lang w:eastAsia="zh-CN"/>
        </w:rPr>
      </w:pPr>
      <w:r>
        <w:rPr>
          <w:rFonts w:hint="eastAsia" w:ascii="仿宋" w:hAnsi="仿宋" w:eastAsia="仿宋" w:cs="仿宋"/>
          <w:spacing w:val="23"/>
          <w:sz w:val="28"/>
          <w:szCs w:val="28"/>
          <w:lang w:eastAsia="zh-CN"/>
        </w:rPr>
        <w:t>代表：              联系电话：</w:t>
      </w:r>
    </w:p>
    <w:p w14:paraId="6918FB99">
      <w:pPr>
        <w:pStyle w:val="3"/>
        <w:spacing w:before="88" w:line="360" w:lineRule="auto"/>
        <w:rPr>
          <w:rFonts w:hint="eastAsia" w:ascii="仿宋" w:hAnsi="仿宋" w:eastAsia="仿宋" w:cs="仿宋"/>
          <w:spacing w:val="23"/>
          <w:sz w:val="28"/>
          <w:szCs w:val="28"/>
          <w:lang w:eastAsia="zh-CN"/>
        </w:rPr>
      </w:pPr>
      <w:r>
        <w:rPr>
          <w:rFonts w:hint="eastAsia" w:ascii="仿宋" w:hAnsi="仿宋" w:eastAsia="仿宋" w:cs="仿宋"/>
          <w:spacing w:val="23"/>
          <w:sz w:val="28"/>
          <w:szCs w:val="28"/>
          <w:lang w:eastAsia="zh-CN"/>
        </w:rPr>
        <w:t>报价日期：     年     月    日</w:t>
      </w:r>
    </w:p>
    <w:p w14:paraId="21427D65">
      <w:pPr>
        <w:pStyle w:val="3"/>
        <w:spacing w:before="88" w:line="360" w:lineRule="auto"/>
        <w:rPr>
          <w:rFonts w:hint="eastAsia"/>
          <w:spacing w:val="23"/>
          <w:lang w:val="en-US" w:eastAsia="zh-CN"/>
        </w:rPr>
      </w:pPr>
    </w:p>
    <w:p w14:paraId="420EAAAE">
      <w:pPr>
        <w:pStyle w:val="3"/>
        <w:spacing w:before="88" w:line="360" w:lineRule="auto"/>
        <w:rPr>
          <w:rFonts w:hint="eastAsia"/>
          <w:spacing w:val="23"/>
          <w:lang w:val="en-US" w:eastAsia="zh-CN"/>
        </w:rPr>
      </w:pPr>
    </w:p>
    <w:p w14:paraId="762F54AD">
      <w:pPr>
        <w:pStyle w:val="3"/>
        <w:spacing w:before="88" w:line="360" w:lineRule="auto"/>
        <w:rPr>
          <w:rFonts w:hint="eastAsia"/>
          <w:spacing w:val="23"/>
          <w:lang w:val="en-US" w:eastAsia="zh-CN"/>
        </w:rPr>
      </w:pPr>
    </w:p>
    <w:p w14:paraId="3ED6EB37">
      <w:pPr>
        <w:pStyle w:val="3"/>
        <w:spacing w:before="88" w:line="360" w:lineRule="auto"/>
        <w:rPr>
          <w:rFonts w:hint="eastAsia"/>
          <w:spacing w:val="23"/>
          <w:lang w:val="en-US" w:eastAsia="zh-CN"/>
        </w:rPr>
      </w:pPr>
    </w:p>
    <w:p w14:paraId="2088C238">
      <w:pPr>
        <w:pStyle w:val="3"/>
        <w:spacing w:before="88" w:line="360" w:lineRule="auto"/>
        <w:rPr>
          <w:rFonts w:hint="eastAsia"/>
          <w:spacing w:val="23"/>
          <w:lang w:val="en-US" w:eastAsia="zh-CN"/>
        </w:rPr>
      </w:pPr>
    </w:p>
    <w:p w14:paraId="4A1C3FBB">
      <w:pPr>
        <w:pStyle w:val="3"/>
        <w:spacing w:before="88" w:line="360" w:lineRule="auto"/>
        <w:rPr>
          <w:rFonts w:hint="eastAsia"/>
          <w:spacing w:val="23"/>
          <w:lang w:val="en-US" w:eastAsia="zh-CN"/>
        </w:rPr>
      </w:pPr>
    </w:p>
    <w:p w14:paraId="59804731">
      <w:pPr>
        <w:pStyle w:val="3"/>
        <w:spacing w:before="88" w:line="360" w:lineRule="auto"/>
        <w:rPr>
          <w:rFonts w:hint="eastAsia"/>
          <w:spacing w:val="23"/>
          <w:lang w:val="en-US" w:eastAsia="zh-CN"/>
        </w:rPr>
      </w:pPr>
    </w:p>
    <w:p w14:paraId="4DA305AE">
      <w:pPr>
        <w:pStyle w:val="3"/>
        <w:spacing w:before="88" w:line="360" w:lineRule="auto"/>
        <w:rPr>
          <w:rFonts w:hint="eastAsia"/>
          <w:spacing w:val="23"/>
          <w:lang w:val="en-US" w:eastAsia="zh-CN"/>
        </w:rPr>
      </w:pPr>
    </w:p>
    <w:p w14:paraId="2A6A2ADB">
      <w:pPr>
        <w:pStyle w:val="3"/>
        <w:spacing w:before="88" w:line="360" w:lineRule="auto"/>
        <w:rPr>
          <w:rFonts w:hint="eastAsia"/>
          <w:spacing w:val="23"/>
          <w:lang w:val="en-US" w:eastAsia="zh-CN"/>
        </w:rPr>
      </w:pPr>
    </w:p>
    <w:p w14:paraId="55DDCAAF">
      <w:pPr>
        <w:pStyle w:val="3"/>
        <w:spacing w:before="88" w:line="360" w:lineRule="auto"/>
        <w:rPr>
          <w:rFonts w:hint="eastAsia"/>
          <w:spacing w:val="23"/>
          <w:lang w:val="en-US" w:eastAsia="zh-CN"/>
        </w:rPr>
      </w:pPr>
    </w:p>
    <w:p w14:paraId="76688565">
      <w:pPr>
        <w:pStyle w:val="3"/>
        <w:spacing w:before="88" w:line="360" w:lineRule="auto"/>
        <w:rPr>
          <w:rFonts w:hint="eastAsia"/>
          <w:spacing w:val="23"/>
          <w:lang w:val="en-US" w:eastAsia="zh-CN"/>
        </w:rPr>
      </w:pPr>
    </w:p>
    <w:p w14:paraId="08A29D14">
      <w:pPr>
        <w:pStyle w:val="3"/>
        <w:spacing w:before="88" w:line="360" w:lineRule="auto"/>
        <w:rPr>
          <w:rFonts w:hint="eastAsia"/>
          <w:spacing w:val="23"/>
          <w:lang w:val="en-US" w:eastAsia="zh-CN"/>
        </w:rPr>
      </w:pPr>
    </w:p>
    <w:p w14:paraId="7D4D08D1">
      <w:pPr>
        <w:pStyle w:val="3"/>
        <w:spacing w:before="88" w:line="360" w:lineRule="auto"/>
        <w:rPr>
          <w:rFonts w:hint="eastAsia"/>
          <w:spacing w:val="23"/>
          <w:lang w:val="en-US" w:eastAsia="zh-CN"/>
        </w:rPr>
      </w:pPr>
    </w:p>
    <w:p w14:paraId="7FFA11B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right="0"/>
        <w:jc w:val="center"/>
        <w:rPr>
          <w:rFonts w:hint="eastAsia" w:ascii="仿宋" w:hAnsi="仿宋" w:eastAsia="仿宋" w:cs="仿宋"/>
        </w:rPr>
      </w:pPr>
      <w:r>
        <w:rPr>
          <w:rFonts w:hint="eastAsia" w:ascii="仿宋" w:hAnsi="仿宋" w:eastAsia="仿宋" w:cs="仿宋"/>
          <w:color w:val="000000"/>
          <w:sz w:val="28"/>
          <w:szCs w:val="28"/>
        </w:rPr>
        <w:t>资格证明文件（需加盖公章，否则无效）</w:t>
      </w:r>
    </w:p>
    <w:p w14:paraId="03FA7E77">
      <w:pPr>
        <w:spacing w:line="480" w:lineRule="auto"/>
        <w:rPr>
          <w:rFonts w:hint="eastAsia" w:ascii="仿宋" w:hAnsi="仿宋" w:eastAsia="仿宋" w:cs="仿宋"/>
          <w:sz w:val="28"/>
        </w:rPr>
      </w:pPr>
      <w:r>
        <w:rPr>
          <w:rFonts w:hint="eastAsia" w:ascii="仿宋" w:hAnsi="仿宋" w:eastAsia="仿宋" w:cs="仿宋"/>
          <w:sz w:val="28"/>
        </w:rPr>
        <w:t>1、营业执照的复印件</w:t>
      </w:r>
    </w:p>
    <w:p w14:paraId="03BF80E5">
      <w:pPr>
        <w:spacing w:line="480" w:lineRule="auto"/>
        <w:rPr>
          <w:rFonts w:hint="eastAsia" w:ascii="仿宋" w:hAnsi="仿宋" w:eastAsia="仿宋" w:cs="仿宋"/>
          <w:sz w:val="28"/>
        </w:rPr>
      </w:pPr>
      <w:r>
        <w:rPr>
          <w:rFonts w:hint="eastAsia" w:ascii="仿宋" w:hAnsi="仿宋" w:eastAsia="仿宋" w:cs="仿宋"/>
          <w:sz w:val="28"/>
        </w:rPr>
        <w:t>2、其他资格证明文件</w:t>
      </w:r>
      <w:r>
        <w:rPr>
          <w:rFonts w:hint="eastAsia" w:ascii="仿宋" w:hAnsi="仿宋" w:eastAsia="仿宋" w:cs="仿宋"/>
          <w:sz w:val="30"/>
          <w:szCs w:val="30"/>
        </w:rPr>
        <w:t>（</w:t>
      </w:r>
      <w:r>
        <w:rPr>
          <w:rFonts w:hint="eastAsia" w:ascii="仿宋" w:hAnsi="仿宋" w:eastAsia="仿宋" w:cs="仿宋"/>
          <w:snapToGrid/>
          <w:color w:val="auto"/>
          <w:sz w:val="28"/>
          <w:szCs w:val="28"/>
          <w:lang w:val="en-US" w:eastAsia="zh-CN"/>
        </w:rPr>
        <w:t>劳务资质、安全生产许可证、施工现场需配备专职安全员一名（持有安全员C证）</w:t>
      </w:r>
      <w:r>
        <w:rPr>
          <w:rFonts w:hint="eastAsia" w:ascii="仿宋" w:hAnsi="仿宋" w:eastAsia="仿宋" w:cs="仿宋"/>
          <w:sz w:val="30"/>
          <w:szCs w:val="30"/>
        </w:rPr>
        <w:t>）</w:t>
      </w:r>
    </w:p>
    <w:p w14:paraId="68338388">
      <w:pPr>
        <w:pStyle w:val="3"/>
        <w:spacing w:before="88" w:line="360" w:lineRule="auto"/>
        <w:rPr>
          <w:rFonts w:hint="eastAsia"/>
          <w:spacing w:val="23"/>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31A7430"/>
    <w:rsid w:val="07A377EB"/>
    <w:rsid w:val="0CF602B9"/>
    <w:rsid w:val="11870CA2"/>
    <w:rsid w:val="12033FCF"/>
    <w:rsid w:val="125F1C01"/>
    <w:rsid w:val="1461798B"/>
    <w:rsid w:val="14A32FFE"/>
    <w:rsid w:val="15786D25"/>
    <w:rsid w:val="19173966"/>
    <w:rsid w:val="1A44055C"/>
    <w:rsid w:val="1A746641"/>
    <w:rsid w:val="1F270051"/>
    <w:rsid w:val="230D38A4"/>
    <w:rsid w:val="240C2AF1"/>
    <w:rsid w:val="24A71FA1"/>
    <w:rsid w:val="25ED1ACA"/>
    <w:rsid w:val="26F30F76"/>
    <w:rsid w:val="286C4BA3"/>
    <w:rsid w:val="287C4027"/>
    <w:rsid w:val="2C5A200C"/>
    <w:rsid w:val="2E03179C"/>
    <w:rsid w:val="2E1E1344"/>
    <w:rsid w:val="359A5787"/>
    <w:rsid w:val="362749AA"/>
    <w:rsid w:val="37745015"/>
    <w:rsid w:val="3C2B0662"/>
    <w:rsid w:val="3E540D13"/>
    <w:rsid w:val="400E3D5F"/>
    <w:rsid w:val="4B15553F"/>
    <w:rsid w:val="4B9418C4"/>
    <w:rsid w:val="4C5444F8"/>
    <w:rsid w:val="4EB94EBB"/>
    <w:rsid w:val="4F6E1E10"/>
    <w:rsid w:val="4FDC461D"/>
    <w:rsid w:val="52F06A35"/>
    <w:rsid w:val="531B76FE"/>
    <w:rsid w:val="5CE17DCE"/>
    <w:rsid w:val="5D365157"/>
    <w:rsid w:val="60EE2410"/>
    <w:rsid w:val="610A1F17"/>
    <w:rsid w:val="6625452E"/>
    <w:rsid w:val="6850795B"/>
    <w:rsid w:val="688651C2"/>
    <w:rsid w:val="6910479D"/>
    <w:rsid w:val="69E301DD"/>
    <w:rsid w:val="6A3325F6"/>
    <w:rsid w:val="6D1327AF"/>
    <w:rsid w:val="70FF5915"/>
    <w:rsid w:val="799D05BD"/>
    <w:rsid w:val="7A0F7765"/>
    <w:rsid w:val="7CF35B38"/>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8">
    <w:name w:val="Body Text First Indent"/>
    <w:basedOn w:val="3"/>
    <w:unhideWhenUsed/>
    <w:qFormat/>
    <w:uiPriority w:val="99"/>
    <w:pPr>
      <w:ind w:firstLine="420" w:firstLineChars="100"/>
    </w:pPr>
    <w:rPr>
      <w:rFonts w:ascii="Calibri" w:hAnsi="Calibri" w:eastAsia="宋体" w:cs="Times New Roman"/>
      <w:szCs w:val="22"/>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3">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4">
    <w:name w:val="标4"/>
    <w:basedOn w:val="15"/>
    <w:next w:val="1"/>
    <w:qFormat/>
    <w:uiPriority w:val="99"/>
    <w:pPr>
      <w:ind w:firstLine="560"/>
      <w:jc w:val="left"/>
      <w:outlineLvl w:val="3"/>
    </w:pPr>
  </w:style>
  <w:style w:type="paragraph" w:customStyle="1" w:styleId="15">
    <w:name w:val="标3"/>
    <w:basedOn w:val="16"/>
    <w:next w:val="1"/>
    <w:qFormat/>
    <w:uiPriority w:val="99"/>
    <w:pPr>
      <w:outlineLvl w:val="2"/>
    </w:pPr>
    <w:rPr>
      <w:rFonts w:ascii="宋体" w:hAnsi="宋体"/>
    </w:rPr>
  </w:style>
  <w:style w:type="paragraph" w:customStyle="1" w:styleId="16">
    <w:name w:val="标2"/>
    <w:basedOn w:val="17"/>
    <w:qFormat/>
    <w:uiPriority w:val="99"/>
    <w:pPr>
      <w:keepNext/>
      <w:keepLines/>
      <w:spacing w:beforeLines="0"/>
      <w:outlineLvl w:val="1"/>
    </w:pPr>
    <w:rPr>
      <w:rFonts w:ascii="黑体" w:hAnsi="黑体" w:cs="宋体"/>
      <w:b w:val="0"/>
      <w:sz w:val="28"/>
      <w:szCs w:val="20"/>
    </w:rPr>
  </w:style>
  <w:style w:type="paragraph" w:customStyle="1" w:styleId="17">
    <w:name w:val="标1"/>
    <w:basedOn w:val="7"/>
    <w:qFormat/>
    <w:uiPriority w:val="99"/>
    <w:pPr>
      <w:adjustRightInd w:val="0"/>
      <w:spacing w:beforeLines="50" w:afterLines="50"/>
    </w:pPr>
    <w:rPr>
      <w:kern w:val="24"/>
      <w:sz w:val="30"/>
      <w:szCs w:val="24"/>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500</Words>
  <Characters>547</Characters>
  <Lines>0</Lines>
  <Paragraphs>0</Paragraphs>
  <TotalTime>1017</TotalTime>
  <ScaleCrop>false</ScaleCrop>
  <LinksUpToDate>false</LinksUpToDate>
  <CharactersWithSpaces>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Setlla</cp:lastModifiedBy>
  <dcterms:modified xsi:type="dcterms:W3CDTF">2025-11-20T00:51:44Z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E91782C0B33A4DEFBBBF5E818897B855_13</vt:lpwstr>
  </property>
  <property fmtid="{D5CDD505-2E9C-101B-9397-08002B2CF9AE}" pid="4" name="KSOTemplateDocerSaveRecord">
    <vt:lpwstr>eyJoZGlkIjoiYjBmNTZmZDdmODk2NGVhNDFkYjk3MzhmNmI2NmM2MDIiLCJ1c2VySWQiOiIyNzI3ODQ3MTEifQ==</vt:lpwstr>
  </property>
</Properties>
</file>