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73DD">
      <w:pPr>
        <w:spacing w:line="56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挖机租赁服务</w:t>
      </w:r>
      <w:r>
        <w:rPr>
          <w:rFonts w:hint="eastAsia" w:ascii="宋体" w:hAnsi="宋体" w:eastAsia="宋体" w:cs="宋体"/>
          <w:b/>
          <w:bCs/>
          <w:color w:val="auto"/>
          <w:sz w:val="44"/>
          <w:szCs w:val="44"/>
        </w:rPr>
        <w:t>报价单</w:t>
      </w:r>
    </w:p>
    <w:p w14:paraId="2747681F">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p>
    <w:p w14:paraId="00F04445">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14:paraId="2CE76D9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工程名称：</w:t>
      </w:r>
      <w:r>
        <w:rPr>
          <w:rFonts w:hint="eastAsia" w:ascii="仿宋" w:hAnsi="仿宋" w:eastAsia="仿宋" w:cs="仿宋"/>
          <w:color w:val="auto"/>
          <w:sz w:val="24"/>
          <w:szCs w:val="24"/>
          <w:lang w:val="en-US" w:eastAsia="zh-CN"/>
        </w:rPr>
        <w:t>中央储备粮茂名直属库有限公司仓储项目二期施工总承包标段一桩基及基坑支护工程</w:t>
      </w:r>
    </w:p>
    <w:p w14:paraId="0E2E371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工程地点：</w:t>
      </w:r>
      <w:r>
        <w:rPr>
          <w:rFonts w:hint="eastAsia" w:ascii="仿宋" w:hAnsi="仿宋" w:eastAsia="仿宋" w:cs="仿宋"/>
          <w:color w:val="auto"/>
          <w:sz w:val="24"/>
          <w:szCs w:val="24"/>
          <w:lang w:val="en-US" w:eastAsia="zh-CN"/>
        </w:rPr>
        <w:t>广东省茂名滨海新区</w:t>
      </w:r>
    </w:p>
    <w:p w14:paraId="6314BA0D">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报价信息</w:t>
      </w:r>
    </w:p>
    <w:tbl>
      <w:tblPr>
        <w:tblStyle w:val="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34"/>
        <w:gridCol w:w="993"/>
        <w:gridCol w:w="1439"/>
        <w:gridCol w:w="1483"/>
        <w:gridCol w:w="1436"/>
        <w:gridCol w:w="1480"/>
      </w:tblGrid>
      <w:tr w14:paraId="221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14:paraId="13AF55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序号</w:t>
            </w:r>
          </w:p>
        </w:tc>
        <w:tc>
          <w:tcPr>
            <w:tcW w:w="1934" w:type="dxa"/>
            <w:vAlign w:val="center"/>
          </w:tcPr>
          <w:p w14:paraId="1971EE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93" w:type="dxa"/>
            <w:vAlign w:val="center"/>
          </w:tcPr>
          <w:p w14:paraId="651195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数量（台）</w:t>
            </w:r>
          </w:p>
        </w:tc>
        <w:tc>
          <w:tcPr>
            <w:tcW w:w="1439" w:type="dxa"/>
            <w:vAlign w:val="center"/>
          </w:tcPr>
          <w:p w14:paraId="59FCF0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租赁时间（月）</w:t>
            </w:r>
          </w:p>
        </w:tc>
        <w:tc>
          <w:tcPr>
            <w:tcW w:w="1483" w:type="dxa"/>
            <w:vAlign w:val="center"/>
          </w:tcPr>
          <w:p w14:paraId="5C7C6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lang w:val="en-US" w:eastAsia="zh-CN"/>
              </w:rPr>
            </w:pPr>
            <w:r>
              <w:rPr>
                <w:rFonts w:hint="eastAsia" w:ascii="仿宋" w:hAnsi="仿宋" w:eastAsia="仿宋" w:cs="仿宋"/>
                <w:sz w:val="24"/>
                <w:szCs w:val="24"/>
                <w:vertAlign w:val="baseline"/>
                <w:lang w:val="en-US" w:eastAsia="zh-CN"/>
              </w:rPr>
              <w:t>单价（元/月）</w:t>
            </w:r>
          </w:p>
        </w:tc>
        <w:tc>
          <w:tcPr>
            <w:tcW w:w="1436" w:type="dxa"/>
            <w:vAlign w:val="center"/>
          </w:tcPr>
          <w:p w14:paraId="0E96B3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480" w:type="dxa"/>
            <w:vAlign w:val="center"/>
          </w:tcPr>
          <w:p w14:paraId="77938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A0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0" w:type="dxa"/>
            <w:vAlign w:val="center"/>
          </w:tcPr>
          <w:p w14:paraId="264402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34" w:type="dxa"/>
            <w:vAlign w:val="center"/>
          </w:tcPr>
          <w:p w14:paraId="754ABC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挖机200及以上</w:t>
            </w:r>
          </w:p>
        </w:tc>
        <w:tc>
          <w:tcPr>
            <w:tcW w:w="993" w:type="dxa"/>
            <w:vAlign w:val="center"/>
          </w:tcPr>
          <w:p w14:paraId="5107A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39" w:type="dxa"/>
            <w:vAlign w:val="center"/>
          </w:tcPr>
          <w:p w14:paraId="5212E6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83" w:type="dxa"/>
            <w:vAlign w:val="center"/>
          </w:tcPr>
          <w:p w14:paraId="408D46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36" w:type="dxa"/>
            <w:vAlign w:val="center"/>
          </w:tcPr>
          <w:p w14:paraId="74440D67">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05C08C9B">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含操作人员</w:t>
            </w:r>
          </w:p>
        </w:tc>
      </w:tr>
      <w:tr w14:paraId="550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0" w:type="dxa"/>
            <w:vAlign w:val="center"/>
          </w:tcPr>
          <w:p w14:paraId="78542D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5849" w:type="dxa"/>
            <w:gridSpan w:val="4"/>
            <w:vAlign w:val="center"/>
          </w:tcPr>
          <w:p w14:paraId="6CE4EC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436" w:type="dxa"/>
            <w:vAlign w:val="center"/>
          </w:tcPr>
          <w:p w14:paraId="687525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591F3B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r>
    </w:tbl>
    <w:p w14:paraId="23A6E454">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报价说明：</w:t>
      </w:r>
    </w:p>
    <w:p w14:paraId="506D15E9">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1、所有价格采用人民币报价，增值税专票税率</w:t>
      </w:r>
      <w:r>
        <w:rPr>
          <w:rFonts w:hint="eastAsia" w:ascii="仿宋" w:hAnsi="仿宋" w:eastAsia="仿宋" w:cs="仿宋"/>
          <w:b w:val="0"/>
          <w:bCs w:val="0"/>
          <w:color w:val="auto"/>
          <w:sz w:val="24"/>
          <w:szCs w:val="24"/>
          <w:highlight w:val="none"/>
          <w:lang w:val="en-US" w:eastAsia="zh-CN"/>
        </w:rPr>
        <w:t>9%；</w:t>
      </w:r>
    </w:p>
    <w:p w14:paraId="235E76A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2、租赁设备所用柴油由采购人提供；</w:t>
      </w:r>
    </w:p>
    <w:p w14:paraId="7CCE746C">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3、如某单价*数量与总价不符，则以较低价为准，或作废标处理；</w:t>
      </w:r>
    </w:p>
    <w:p w14:paraId="46B5E43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4、采购人在报价表中所提供的标的物的数量是暂定数量，不作为最终结算与支付的依据；</w:t>
      </w:r>
    </w:p>
    <w:p w14:paraId="31020A9B">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5、付款节点及方式：</w:t>
      </w:r>
      <w:r>
        <w:rPr>
          <w:rFonts w:hint="eastAsia" w:ascii="仿宋" w:hAnsi="仿宋" w:eastAsia="仿宋" w:cs="仿宋"/>
          <w:b w:val="0"/>
          <w:bCs w:val="0"/>
          <w:color w:val="auto"/>
          <w:sz w:val="24"/>
          <w:szCs w:val="24"/>
          <w:highlight w:val="none"/>
          <w:lang w:val="en-US" w:eastAsia="zh-CN"/>
        </w:rPr>
        <w:t>合同中约定。</w:t>
      </w:r>
    </w:p>
    <w:p w14:paraId="7E87886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6、更改付款方式的作为废标处理；</w:t>
      </w:r>
    </w:p>
    <w:p w14:paraId="2E934B8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7、如中标，本报价单作为合同的有效附件。</w:t>
      </w:r>
    </w:p>
    <w:p w14:paraId="2436E1D1">
      <w:pPr>
        <w:spacing w:line="360" w:lineRule="auto"/>
        <w:ind w:firstLine="4610" w:firstLineChars="1921"/>
        <w:jc w:val="left"/>
        <w:rPr>
          <w:rFonts w:hint="eastAsia" w:ascii="仿宋" w:hAnsi="仿宋" w:eastAsia="仿宋" w:cs="仿宋"/>
          <w:sz w:val="24"/>
          <w:szCs w:val="24"/>
        </w:rPr>
      </w:pPr>
    </w:p>
    <w:p w14:paraId="7AB529BB">
      <w:pPr>
        <w:spacing w:line="360" w:lineRule="auto"/>
        <w:ind w:firstLine="4610" w:firstLineChars="1921"/>
        <w:jc w:val="left"/>
        <w:rPr>
          <w:rFonts w:hint="eastAsia" w:ascii="仿宋" w:hAnsi="仿宋" w:eastAsia="仿宋" w:cs="仿宋"/>
          <w:sz w:val="24"/>
          <w:szCs w:val="24"/>
        </w:rPr>
      </w:pPr>
    </w:p>
    <w:p w14:paraId="3C4165A7">
      <w:pPr>
        <w:spacing w:line="360" w:lineRule="auto"/>
        <w:ind w:firstLine="4610" w:firstLineChars="1921"/>
        <w:jc w:val="left"/>
        <w:rPr>
          <w:rFonts w:hint="eastAsia" w:ascii="仿宋" w:hAnsi="仿宋" w:eastAsia="仿宋" w:cs="仿宋"/>
          <w:sz w:val="24"/>
          <w:szCs w:val="24"/>
        </w:rPr>
      </w:pPr>
    </w:p>
    <w:p w14:paraId="21FFBA5B">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报  价  人：</w:t>
      </w:r>
    </w:p>
    <w:p w14:paraId="6E7B2131">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33BB7D10">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或授权代理人：</w:t>
      </w:r>
    </w:p>
    <w:p w14:paraId="3B10D985">
      <w:pPr>
        <w:spacing w:line="360" w:lineRule="auto"/>
        <w:ind w:firstLine="4610" w:firstLineChars="1921"/>
        <w:jc w:val="left"/>
        <w:rPr>
          <w:rFonts w:hint="default" w:ascii="仿宋" w:hAnsi="仿宋" w:eastAsia="仿宋" w:cs="仿宋"/>
          <w:sz w:val="24"/>
          <w:szCs w:val="24"/>
          <w:lang w:val="en-US" w:eastAsia="zh-CN"/>
        </w:rPr>
      </w:pPr>
      <w:r>
        <w:rPr>
          <w:rFonts w:hint="eastAsia" w:ascii="仿宋" w:hAnsi="仿宋" w:eastAsia="仿宋" w:cs="仿宋"/>
          <w:sz w:val="24"/>
          <w:szCs w:val="24"/>
        </w:rPr>
        <w:t>联系电话：</w:t>
      </w:r>
    </w:p>
    <w:p w14:paraId="0CC0C19C">
      <w:pPr>
        <w:spacing w:line="360" w:lineRule="auto"/>
        <w:ind w:firstLine="4610" w:firstLineChars="1921"/>
        <w:jc w:val="left"/>
        <w:rPr>
          <w:rFonts w:hint="eastAsia" w:ascii="仿宋" w:hAnsi="仿宋" w:eastAsia="仿宋" w:cs="仿宋"/>
          <w:sz w:val="24"/>
          <w:szCs w:val="24"/>
        </w:rPr>
        <w:sectPr>
          <w:pgSz w:w="11906" w:h="16838"/>
          <w:pgMar w:top="1020" w:right="1066" w:bottom="898" w:left="1180" w:header="851" w:footer="992" w:gutter="0"/>
          <w:cols w:space="425"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1BAEE40">
      <w:pPr>
        <w:ind w:left="0" w:leftChars="0" w:firstLine="0" w:firstLineChars="0"/>
        <w:jc w:val="center"/>
        <w:rPr>
          <w:rFonts w:hint="eastAsia"/>
          <w:lang w:val="en-US" w:eastAsia="zh-CN"/>
        </w:rPr>
      </w:pPr>
      <w:r>
        <w:rPr>
          <w:rFonts w:hint="eastAsia" w:cs="仿宋" w:asciiTheme="minorEastAsia" w:hAnsiTheme="minorEastAsia" w:eastAsiaTheme="minorEastAsia"/>
          <w:b/>
          <w:sz w:val="36"/>
          <w:szCs w:val="36"/>
          <w:lang w:val="en-US" w:eastAsia="zh-CN"/>
        </w:rPr>
        <w:t>营业执照</w:t>
      </w:r>
    </w:p>
    <w:p w14:paraId="55C00A94">
      <w:pPr>
        <w:jc w:val="center"/>
        <w:rPr>
          <w:rFonts w:hint="eastAsia"/>
          <w:lang w:eastAsia="zh-CN"/>
        </w:rPr>
        <w:sectPr>
          <w:pgSz w:w="11906" w:h="16838"/>
          <w:pgMar w:top="1020" w:right="1066" w:bottom="898" w:left="1180" w:header="851" w:footer="992" w:gutter="0"/>
          <w:cols w:space="425" w:num="1"/>
          <w:docGrid w:type="lines" w:linePitch="312" w:charSpace="0"/>
        </w:sectPr>
      </w:pPr>
    </w:p>
    <w:p w14:paraId="4B95047D">
      <w:pPr>
        <w:ind w:left="0" w:leftChars="0" w:firstLine="0" w:firstLineChars="0"/>
        <w:jc w:val="center"/>
        <w:rPr>
          <w:rFonts w:hint="eastAsia"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36"/>
          <w:szCs w:val="36"/>
          <w:lang w:val="en-US" w:eastAsia="zh-CN"/>
        </w:rPr>
        <w:t>自有设备发票</w:t>
      </w:r>
    </w:p>
    <w:p w14:paraId="2DAE032C">
      <w:bookmarkStart w:id="0" w:name="_GoBack"/>
      <w:bookmarkEnd w:id="0"/>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6057D"/>
    <w:rsid w:val="01405EA5"/>
    <w:rsid w:val="04C35D5B"/>
    <w:rsid w:val="0898298E"/>
    <w:rsid w:val="0ACA0C20"/>
    <w:rsid w:val="0BC213C5"/>
    <w:rsid w:val="0DDB3231"/>
    <w:rsid w:val="0F281EDF"/>
    <w:rsid w:val="0FE8130F"/>
    <w:rsid w:val="104C4306"/>
    <w:rsid w:val="116D2F8D"/>
    <w:rsid w:val="14201B8B"/>
    <w:rsid w:val="142955A2"/>
    <w:rsid w:val="1D295783"/>
    <w:rsid w:val="1E7433EB"/>
    <w:rsid w:val="1EB11B3E"/>
    <w:rsid w:val="1F1E27B9"/>
    <w:rsid w:val="20D2593F"/>
    <w:rsid w:val="279F359C"/>
    <w:rsid w:val="34800C51"/>
    <w:rsid w:val="34C40330"/>
    <w:rsid w:val="35895D99"/>
    <w:rsid w:val="35FF4759"/>
    <w:rsid w:val="3A9136B2"/>
    <w:rsid w:val="3F9301B6"/>
    <w:rsid w:val="3F9433FF"/>
    <w:rsid w:val="40E749FD"/>
    <w:rsid w:val="44D6057D"/>
    <w:rsid w:val="4E2B389D"/>
    <w:rsid w:val="4FBB6AED"/>
    <w:rsid w:val="50D153C9"/>
    <w:rsid w:val="541B36F0"/>
    <w:rsid w:val="54D74077"/>
    <w:rsid w:val="5B6C617F"/>
    <w:rsid w:val="5C4E3251"/>
    <w:rsid w:val="5C6D6CB4"/>
    <w:rsid w:val="5CC142E3"/>
    <w:rsid w:val="5D623A26"/>
    <w:rsid w:val="5E345090"/>
    <w:rsid w:val="5EBA0D71"/>
    <w:rsid w:val="6D7A585C"/>
    <w:rsid w:val="71D71CA8"/>
    <w:rsid w:val="756148B1"/>
    <w:rsid w:val="75D54D5F"/>
    <w:rsid w:val="7A205C74"/>
    <w:rsid w:val="7CF25566"/>
    <w:rsid w:val="7FA7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金湾区</Company>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2025-12-19T07:46:00Z</dcterms:created>
  <dc:creator>Leah</dc:creator>
  <cp:lastModifiedBy>Leah</cp:lastModifiedBy>
  <dcterms:modified xsi:type="dcterms:W3CDTF">2025-12-19T07:46:09Z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DC2E393919B64E749FC1D3785248754E_11</vt:lpwstr>
  </property>
  <property fmtid="{D5CDD505-2E9C-101B-9397-08002B2CF9AE}" pid="4" name="KSOTemplateDocerSaveRecord">
    <vt:lpwstr>eyJoZGlkIjoiZWExOWQ0Yzk0MDhhMTdiMjFjMWEwNWFiZmQ2ODQ5MTQiLCJ1c2VySWQiOiIxMTUwNzI5NjU3In0=</vt:lpwstr>
  </property>
</Properties>
</file>