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工程名称：苏地2024-WG-Z25号地块项目桩基工程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工程地点：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苏州市相城区吴韵路东、陶村街北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11"/>
        <w:tblW w:w="88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351"/>
        <w:gridCol w:w="1126"/>
        <w:gridCol w:w="885"/>
        <w:gridCol w:w="1369"/>
        <w:gridCol w:w="1522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24"/>
                <w:szCs w:val="24"/>
                <w:lang w:val="en-US" w:eastAsia="zh-CN"/>
              </w:rPr>
              <w:t>安全围挡施工劳务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820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含安全围挡、安全通道安拆及维保工作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围挡安装完成后支付至合同价60%，拆除完成后付至80%，余款于拆除后1年内付清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4、如中标，本报价单将作为合同的有效附件。</w:t>
      </w:r>
      <w:bookmarkStart w:id="0" w:name="_GoBack"/>
      <w:bookmarkEnd w:id="0"/>
    </w:p>
    <w:p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  价  人：</w:t>
      </w:r>
    </w:p>
    <w:p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或授权代理人：</w:t>
      </w:r>
    </w:p>
    <w:p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ZMCJ-LXCG-2026-WX-002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5211F37"/>
    <w:rsid w:val="0B570878"/>
    <w:rsid w:val="100210FD"/>
    <w:rsid w:val="17182E06"/>
    <w:rsid w:val="27B97A3A"/>
    <w:rsid w:val="290F0001"/>
    <w:rsid w:val="2B504240"/>
    <w:rsid w:val="2DB360F1"/>
    <w:rsid w:val="3F5259D9"/>
    <w:rsid w:val="3F7354E4"/>
    <w:rsid w:val="41ED1EC0"/>
    <w:rsid w:val="49EA5BA0"/>
    <w:rsid w:val="52DC602A"/>
    <w:rsid w:val="550D1BB0"/>
    <w:rsid w:val="5ED01C5C"/>
    <w:rsid w:val="6354299A"/>
    <w:rsid w:val="6C5A66B7"/>
    <w:rsid w:val="7AF333A4"/>
    <w:rsid w:val="7B9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288</Characters>
  <Lines>0</Lines>
  <Paragraphs>0</Paragraphs>
  <TotalTime>8</TotalTime>
  <ScaleCrop>false</ScaleCrop>
  <LinksUpToDate>false</LinksUpToDate>
  <CharactersWithSpaces>332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孟小雷</cp:lastModifiedBy>
  <dcterms:modified xsi:type="dcterms:W3CDTF">2026-01-16T08:55:38Z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46D714CEE93A4CD4A772BB20EBAF44BA_13</vt:lpwstr>
  </property>
  <property fmtid="{D5CDD505-2E9C-101B-9397-08002B2CF9AE}" pid="4" name="KSOTemplateDocerSaveRecord">
    <vt:lpwstr>eyJoZGlkIjoiYzk3ZTYzMzYzYjlkMTAyYWY3ZDE3MWI2MmM5OTc4ZDkiLCJ1c2VySWQiOiIxNDkwNDgyMzQ5In0=</vt:lpwstr>
  </property>
</Properties>
</file>