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499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napToGrid/>
          <w:color w:val="auto"/>
          <w:kern w:val="2"/>
          <w:sz w:val="44"/>
          <w:szCs w:val="44"/>
        </w:rPr>
      </w:pPr>
      <w:r>
        <w:rPr>
          <w:rFonts w:hint="eastAsia" w:ascii="仿宋" w:hAnsi="仿宋" w:eastAsia="仿宋" w:cs="仿宋"/>
          <w:b/>
          <w:bCs/>
          <w:snapToGrid/>
          <w:color w:val="auto"/>
          <w:kern w:val="2"/>
          <w:sz w:val="44"/>
          <w:szCs w:val="44"/>
          <w:lang w:eastAsia="zh-CN"/>
        </w:rPr>
        <w:t>采购</w:t>
      </w:r>
      <w:r>
        <w:rPr>
          <w:rFonts w:hint="eastAsia" w:ascii="仿宋" w:hAnsi="仿宋" w:eastAsia="仿宋" w:cs="仿宋"/>
          <w:b/>
          <w:bCs/>
          <w:snapToGrid/>
          <w:color w:val="auto"/>
          <w:kern w:val="2"/>
          <w:sz w:val="44"/>
          <w:szCs w:val="44"/>
        </w:rPr>
        <w:t>公告</w:t>
      </w:r>
    </w:p>
    <w:p w14:paraId="66A48AEE">
      <w:pPr>
        <w:keepNext w:val="0"/>
        <w:keepLines w:val="0"/>
        <w:pageBreakBefore w:val="0"/>
        <w:kinsoku/>
        <w:wordWrap/>
        <w:overflowPunct/>
        <w:topLinePunct w:val="0"/>
        <w:autoSpaceDE/>
        <w:autoSpaceDN/>
        <w:bidi w:val="0"/>
        <w:adjustRightInd/>
        <w:snapToGrid/>
        <w:spacing w:line="288" w:lineRule="auto"/>
        <w:ind w:left="0" w:leftChars="0" w:right="0" w:firstLine="0" w:firstLineChars="0"/>
        <w:jc w:val="center"/>
        <w:textAlignment w:val="auto"/>
        <w:rPr>
          <w:rFonts w:hint="eastAsia" w:ascii="仿宋" w:hAnsi="仿宋" w:eastAsia="仿宋" w:cs="仿宋"/>
          <w:snapToGrid/>
          <w:color w:val="auto"/>
          <w:sz w:val="28"/>
          <w:szCs w:val="28"/>
          <w:lang w:val="en-US" w:eastAsia="zh-CN"/>
        </w:rPr>
      </w:pPr>
    </w:p>
    <w:p w14:paraId="3492F02B">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我公司拟进行中央储备粮茂名直属库有限公司仓储项目二期施工总承包标段一桩基及基坑支护工程</w:t>
      </w:r>
      <w:r>
        <w:rPr>
          <w:rFonts w:hint="eastAsia" w:ascii="仿宋" w:hAnsi="仿宋" w:eastAsia="仿宋" w:cs="仿宋"/>
          <w:snapToGrid/>
          <w:color w:val="auto"/>
          <w:sz w:val="28"/>
          <w:szCs w:val="28"/>
          <w:lang w:val="en-US" w:eastAsia="zh-CN"/>
        </w:rPr>
        <w:t>水泥竞争谈判</w:t>
      </w:r>
      <w:r>
        <w:rPr>
          <w:rFonts w:hint="eastAsia" w:ascii="仿宋" w:hAnsi="仿宋" w:eastAsia="仿宋" w:cs="仿宋"/>
          <w:snapToGrid/>
          <w:color w:val="auto"/>
          <w:sz w:val="28"/>
          <w:szCs w:val="28"/>
          <w:lang w:eastAsia="zh-CN"/>
        </w:rPr>
        <w:t>采购。</w:t>
      </w:r>
    </w:p>
    <w:p w14:paraId="51DCB29D">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highlight w:val="none"/>
          <w:lang w:eastAsia="zh-CN"/>
        </w:rPr>
      </w:pPr>
      <w:r>
        <w:rPr>
          <w:rFonts w:hint="eastAsia" w:ascii="仿宋" w:hAnsi="仿宋" w:eastAsia="仿宋" w:cs="仿宋"/>
          <w:snapToGrid/>
          <w:color w:val="auto"/>
          <w:sz w:val="28"/>
          <w:szCs w:val="28"/>
          <w:highlight w:val="none"/>
          <w:lang w:eastAsia="zh-CN"/>
        </w:rPr>
        <w:t>采购编号：</w:t>
      </w:r>
      <w:r>
        <w:rPr>
          <w:rFonts w:hint="eastAsia" w:ascii="仿宋" w:hAnsi="仿宋" w:eastAsia="仿宋" w:cs="仿宋"/>
          <w:snapToGrid/>
          <w:color w:val="auto"/>
          <w:sz w:val="28"/>
          <w:szCs w:val="28"/>
          <w:lang w:val="en-US" w:eastAsia="zh-CN"/>
        </w:rPr>
        <w:t>ZMCJ-LXCG-2026-ZJ-002。</w:t>
      </w:r>
    </w:p>
    <w:p w14:paraId="4CC5859C">
      <w:pPr>
        <w:pStyle w:val="18"/>
        <w:keepNext w:val="0"/>
        <w:keepLines w:val="0"/>
        <w:pageBreakBefore w:val="0"/>
        <w:kinsoku/>
        <w:wordWrap/>
        <w:overflowPunct/>
        <w:topLinePunct w:val="0"/>
        <w:bidi w:val="0"/>
        <w:snapToGrid/>
        <w:spacing w:line="288" w:lineRule="auto"/>
        <w:ind w:right="0" w:firstLine="562" w:firstLineChars="200"/>
        <w:jc w:val="left"/>
        <w:textAlignment w:val="auto"/>
        <w:rPr>
          <w:rFonts w:hint="eastAsia" w:ascii="仿宋" w:hAnsi="仿宋" w:eastAsia="仿宋" w:cs="仿宋"/>
          <w:b/>
          <w:bCs/>
          <w:color w:val="333333"/>
          <w:kern w:val="2"/>
          <w:sz w:val="28"/>
          <w:szCs w:val="28"/>
          <w:lang w:eastAsia="zh-CN"/>
        </w:rPr>
      </w:pPr>
      <w:r>
        <w:rPr>
          <w:rFonts w:hint="eastAsia" w:ascii="仿宋" w:hAnsi="仿宋" w:eastAsia="仿宋" w:cs="仿宋"/>
          <w:b/>
          <w:bCs/>
          <w:sz w:val="28"/>
          <w:szCs w:val="28"/>
        </w:rPr>
        <w:t>一、项目概况</w:t>
      </w:r>
      <w:r>
        <w:rPr>
          <w:rFonts w:hint="eastAsia" w:ascii="仿宋" w:hAnsi="仿宋" w:eastAsia="仿宋" w:cs="仿宋"/>
          <w:b/>
          <w:bCs/>
          <w:sz w:val="28"/>
          <w:szCs w:val="28"/>
          <w:lang w:eastAsia="zh-CN"/>
        </w:rPr>
        <w:t>：</w:t>
      </w:r>
    </w:p>
    <w:p w14:paraId="007B6C30">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1.</w:t>
      </w:r>
      <w:r>
        <w:rPr>
          <w:rFonts w:hint="eastAsia" w:ascii="仿宋" w:hAnsi="仿宋" w:eastAsia="仿宋" w:cs="仿宋"/>
          <w:snapToGrid/>
          <w:color w:val="auto"/>
          <w:sz w:val="28"/>
          <w:szCs w:val="28"/>
          <w:lang w:eastAsia="zh-CN"/>
        </w:rPr>
        <w:t>项目名称：中央储备粮茂名直属库有限公司仓储项目二期施工总承包标段一桩基及基坑支护工程</w:t>
      </w:r>
    </w:p>
    <w:p w14:paraId="0EAA1589">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2.</w:t>
      </w:r>
      <w:r>
        <w:rPr>
          <w:rFonts w:hint="eastAsia" w:ascii="仿宋" w:hAnsi="仿宋" w:eastAsia="仿宋" w:cs="仿宋"/>
          <w:snapToGrid/>
          <w:color w:val="auto"/>
          <w:sz w:val="28"/>
          <w:szCs w:val="28"/>
          <w:lang w:eastAsia="zh-CN"/>
        </w:rPr>
        <w:t>项目地点</w:t>
      </w:r>
      <w:r>
        <w:rPr>
          <w:rFonts w:hint="eastAsia" w:ascii="仿宋" w:hAnsi="仿宋" w:eastAsia="仿宋" w:cs="仿宋"/>
          <w:snapToGrid/>
          <w:color w:val="auto"/>
          <w:sz w:val="28"/>
          <w:szCs w:val="28"/>
          <w:lang w:val="en-US" w:eastAsia="zh-CN"/>
        </w:rPr>
        <w:t>：广东省茂名滨海新区</w:t>
      </w:r>
    </w:p>
    <w:p w14:paraId="4D5D4570">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3.</w:t>
      </w:r>
      <w:r>
        <w:rPr>
          <w:rFonts w:hint="eastAsia" w:ascii="仿宋" w:hAnsi="仿宋" w:eastAsia="仿宋" w:cs="仿宋"/>
          <w:snapToGrid/>
          <w:color w:val="auto"/>
          <w:sz w:val="28"/>
          <w:szCs w:val="28"/>
        </w:rPr>
        <w:t>采购需求：</w:t>
      </w:r>
      <w:r>
        <w:rPr>
          <w:rFonts w:hint="eastAsia" w:ascii="仿宋" w:hAnsi="仿宋" w:eastAsia="仿宋" w:cs="仿宋"/>
          <w:snapToGrid/>
          <w:color w:val="auto"/>
          <w:sz w:val="28"/>
          <w:szCs w:val="28"/>
          <w:lang w:val="en-US" w:eastAsia="zh-CN"/>
        </w:rPr>
        <w:t>散装P.O 42.5海螺水泥，暂定400吨</w:t>
      </w:r>
    </w:p>
    <w:p w14:paraId="19B6BC3C">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val="en-US" w:eastAsia="zh-CN"/>
        </w:rPr>
        <w:t>4.</w:t>
      </w:r>
      <w:r>
        <w:rPr>
          <w:rFonts w:hint="eastAsia" w:ascii="仿宋" w:hAnsi="仿宋" w:eastAsia="仿宋" w:cs="仿宋"/>
          <w:snapToGrid/>
          <w:color w:val="auto"/>
          <w:sz w:val="28"/>
          <w:szCs w:val="28"/>
          <w:lang w:eastAsia="zh-CN"/>
        </w:rPr>
        <w:t>评审办法：满足项目采购需求</w:t>
      </w:r>
      <w:r>
        <w:rPr>
          <w:rFonts w:hint="eastAsia" w:ascii="仿宋" w:hAnsi="仿宋" w:eastAsia="仿宋" w:cs="仿宋"/>
          <w:snapToGrid/>
          <w:color w:val="auto"/>
          <w:sz w:val="28"/>
          <w:szCs w:val="28"/>
          <w:lang w:val="en-US" w:eastAsia="zh-CN"/>
        </w:rPr>
        <w:t>的</w:t>
      </w:r>
      <w:r>
        <w:rPr>
          <w:rFonts w:hint="eastAsia" w:ascii="仿宋" w:hAnsi="仿宋" w:eastAsia="仿宋" w:cs="仿宋"/>
          <w:snapToGrid/>
          <w:color w:val="auto"/>
          <w:sz w:val="28"/>
          <w:szCs w:val="28"/>
          <w:lang w:eastAsia="zh-CN"/>
        </w:rPr>
        <w:t>情况下最低价中标</w:t>
      </w:r>
    </w:p>
    <w:p w14:paraId="1E9547EE">
      <w:pPr>
        <w:pStyle w:val="18"/>
        <w:keepNext w:val="0"/>
        <w:keepLines w:val="0"/>
        <w:pageBreakBefore w:val="0"/>
        <w:kinsoku/>
        <w:wordWrap/>
        <w:overflowPunct/>
        <w:topLinePunct w:val="0"/>
        <w:bidi w:val="0"/>
        <w:snapToGrid/>
        <w:spacing w:line="288" w:lineRule="auto"/>
        <w:ind w:righ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二、</w:t>
      </w:r>
      <w:r>
        <w:rPr>
          <w:rFonts w:hint="eastAsia" w:ascii="仿宋" w:hAnsi="仿宋" w:eastAsia="仿宋" w:cs="仿宋"/>
          <w:b/>
          <w:bCs/>
          <w:sz w:val="28"/>
          <w:szCs w:val="28"/>
          <w:lang w:val="en-US" w:eastAsia="zh-CN"/>
        </w:rPr>
        <w:t>响应</w:t>
      </w:r>
      <w:r>
        <w:rPr>
          <w:rFonts w:hint="eastAsia" w:ascii="仿宋" w:hAnsi="仿宋" w:eastAsia="仿宋" w:cs="仿宋"/>
          <w:b/>
          <w:bCs/>
          <w:sz w:val="28"/>
          <w:szCs w:val="28"/>
        </w:rPr>
        <w:t>人的资格要求</w:t>
      </w:r>
      <w:r>
        <w:rPr>
          <w:rFonts w:hint="eastAsia" w:ascii="仿宋" w:hAnsi="仿宋" w:eastAsia="仿宋" w:cs="仿宋"/>
          <w:b/>
          <w:bCs/>
          <w:sz w:val="28"/>
          <w:szCs w:val="28"/>
          <w:lang w:eastAsia="zh-CN"/>
        </w:rPr>
        <w:t>：</w:t>
      </w:r>
    </w:p>
    <w:p w14:paraId="09F1204E">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1</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具有独立法人资格，持有有效的营业执照（具有与采购内容相应的经营范围</w:t>
      </w:r>
      <w:r>
        <w:rPr>
          <w:rFonts w:hint="eastAsia" w:ascii="仿宋" w:hAnsi="仿宋" w:eastAsia="仿宋" w:cs="仿宋"/>
          <w:snapToGrid/>
          <w:color w:val="auto"/>
          <w:sz w:val="28"/>
          <w:szCs w:val="28"/>
          <w:lang w:eastAsia="zh-CN"/>
        </w:rPr>
        <w:t>、</w:t>
      </w:r>
      <w:r>
        <w:rPr>
          <w:rFonts w:hint="eastAsia" w:ascii="仿宋" w:hAnsi="仿宋" w:eastAsia="仿宋" w:cs="仿宋"/>
          <w:snapToGrid/>
          <w:color w:val="auto"/>
          <w:sz w:val="28"/>
          <w:szCs w:val="28"/>
          <w:lang w:val="en-US" w:eastAsia="zh-CN"/>
        </w:rPr>
        <w:t>具有危化品经营许可证等资格证</w:t>
      </w:r>
      <w:r>
        <w:rPr>
          <w:rFonts w:hint="eastAsia" w:ascii="仿宋" w:hAnsi="仿宋" w:eastAsia="仿宋" w:cs="仿宋"/>
          <w:snapToGrid/>
          <w:color w:val="auto"/>
          <w:sz w:val="28"/>
          <w:szCs w:val="28"/>
        </w:rPr>
        <w:t>）。</w:t>
      </w:r>
    </w:p>
    <w:p w14:paraId="7FAB1A11">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2</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rPr>
        <w:t>具有良好的商业信誉和健全的财务会计制度</w:t>
      </w:r>
      <w:r>
        <w:rPr>
          <w:rFonts w:hint="eastAsia" w:ascii="仿宋" w:hAnsi="仿宋" w:eastAsia="仿宋" w:cs="仿宋"/>
          <w:snapToGrid/>
          <w:color w:val="auto"/>
          <w:sz w:val="28"/>
          <w:szCs w:val="28"/>
          <w:lang w:eastAsia="zh-CN"/>
        </w:rPr>
        <w:t>。</w:t>
      </w:r>
    </w:p>
    <w:p w14:paraId="427265FA">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3</w:t>
      </w:r>
      <w:r>
        <w:rPr>
          <w:rFonts w:hint="eastAsia" w:ascii="仿宋" w:hAnsi="仿宋" w:eastAsia="仿宋" w:cs="仿宋"/>
          <w:snapToGrid/>
          <w:color w:val="auto"/>
          <w:sz w:val="28"/>
          <w:szCs w:val="28"/>
          <w:lang w:val="en-US" w:eastAsia="zh-CN"/>
        </w:rPr>
        <w:t>.</w:t>
      </w:r>
      <w:r>
        <w:rPr>
          <w:rFonts w:hint="eastAsia" w:ascii="仿宋" w:hAnsi="仿宋" w:eastAsia="仿宋" w:cs="仿宋"/>
          <w:snapToGrid/>
          <w:color w:val="auto"/>
          <w:sz w:val="28"/>
          <w:szCs w:val="28"/>
          <w:lang w:eastAsia="zh-CN"/>
        </w:rPr>
        <w:t>具有投资参股关系的关联企业，或具有直接管理或被管理关系的母子公司，或同一母公司的子公司，或法定代表人为同一人的两个及两个以上法人不得同时对同一包件进行</w:t>
      </w:r>
      <w:r>
        <w:rPr>
          <w:rFonts w:hint="eastAsia" w:ascii="仿宋" w:hAnsi="仿宋" w:eastAsia="仿宋" w:cs="仿宋"/>
          <w:snapToGrid/>
          <w:color w:val="auto"/>
          <w:sz w:val="28"/>
          <w:szCs w:val="28"/>
          <w:lang w:val="en-US" w:eastAsia="zh-CN"/>
        </w:rPr>
        <w:t>报价</w:t>
      </w:r>
      <w:r>
        <w:rPr>
          <w:rFonts w:hint="eastAsia" w:ascii="仿宋" w:hAnsi="仿宋" w:eastAsia="仿宋" w:cs="仿宋"/>
          <w:snapToGrid/>
          <w:color w:val="auto"/>
          <w:sz w:val="28"/>
          <w:szCs w:val="28"/>
          <w:lang w:eastAsia="zh-CN"/>
        </w:rPr>
        <w:t>。</w:t>
      </w:r>
    </w:p>
    <w:p w14:paraId="364A82AA">
      <w:pPr>
        <w:pStyle w:val="18"/>
        <w:keepNext w:val="0"/>
        <w:keepLines w:val="0"/>
        <w:pageBreakBefore w:val="0"/>
        <w:kinsoku/>
        <w:wordWrap/>
        <w:overflowPunct/>
        <w:topLinePunct w:val="0"/>
        <w:bidi w:val="0"/>
        <w:snapToGrid/>
        <w:spacing w:line="288" w:lineRule="auto"/>
        <w:ind w:right="0" w:firstLine="562" w:firstLineChars="20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三</w:t>
      </w:r>
      <w:r>
        <w:rPr>
          <w:rFonts w:hint="eastAsia" w:ascii="仿宋" w:hAnsi="仿宋" w:eastAsia="仿宋" w:cs="仿宋"/>
          <w:b/>
          <w:bCs/>
          <w:sz w:val="28"/>
          <w:szCs w:val="28"/>
        </w:rPr>
        <w:t>、报名方式</w:t>
      </w:r>
      <w:r>
        <w:rPr>
          <w:rFonts w:hint="eastAsia" w:ascii="仿宋" w:hAnsi="仿宋" w:eastAsia="仿宋" w:cs="仿宋"/>
          <w:b/>
          <w:bCs/>
          <w:sz w:val="28"/>
          <w:szCs w:val="28"/>
          <w:lang w:eastAsia="zh-CN"/>
        </w:rPr>
        <w:t>：</w:t>
      </w:r>
    </w:p>
    <w:p w14:paraId="4E323848">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eastAsia" w:ascii="仿宋" w:hAnsi="仿宋" w:eastAsia="仿宋" w:cs="仿宋"/>
          <w:snapToGrid/>
          <w:color w:val="auto"/>
          <w:sz w:val="28"/>
          <w:szCs w:val="28"/>
          <w:lang w:eastAsia="zh-CN"/>
        </w:rPr>
      </w:pPr>
      <w:r>
        <w:rPr>
          <w:rFonts w:hint="eastAsia" w:ascii="仿宋" w:hAnsi="仿宋" w:eastAsia="仿宋" w:cs="仿宋"/>
          <w:snapToGrid/>
          <w:color w:val="auto"/>
          <w:sz w:val="28"/>
          <w:szCs w:val="28"/>
          <w:lang w:eastAsia="zh-CN"/>
        </w:rPr>
        <w:t>凡有意参加者，</w:t>
      </w:r>
      <w:r>
        <w:rPr>
          <w:rFonts w:hint="eastAsia" w:ascii="仿宋" w:hAnsi="仿宋" w:eastAsia="仿宋" w:cs="仿宋"/>
          <w:snapToGrid/>
          <w:color w:val="auto"/>
          <w:sz w:val="28"/>
          <w:szCs w:val="28"/>
          <w:highlight w:val="none"/>
          <w:lang w:eastAsia="zh-CN"/>
        </w:rPr>
        <w:t>请于202</w:t>
      </w:r>
      <w:r>
        <w:rPr>
          <w:rFonts w:hint="eastAsia" w:ascii="仿宋" w:hAnsi="仿宋" w:eastAsia="仿宋" w:cs="仿宋"/>
          <w:snapToGrid/>
          <w:color w:val="auto"/>
          <w:sz w:val="28"/>
          <w:szCs w:val="28"/>
          <w:highlight w:val="none"/>
          <w:lang w:val="en-US" w:eastAsia="zh-CN"/>
        </w:rPr>
        <w:t>6</w:t>
      </w:r>
      <w:r>
        <w:rPr>
          <w:rFonts w:hint="eastAsia" w:ascii="仿宋" w:hAnsi="仿宋" w:eastAsia="仿宋" w:cs="仿宋"/>
          <w:snapToGrid/>
          <w:color w:val="auto"/>
          <w:sz w:val="28"/>
          <w:szCs w:val="28"/>
          <w:highlight w:val="none"/>
          <w:lang w:eastAsia="zh-CN"/>
        </w:rPr>
        <w:t>年</w:t>
      </w:r>
      <w:r>
        <w:rPr>
          <w:rFonts w:hint="eastAsia" w:ascii="仿宋" w:hAnsi="仿宋" w:eastAsia="仿宋" w:cs="仿宋"/>
          <w:snapToGrid/>
          <w:color w:val="auto"/>
          <w:sz w:val="28"/>
          <w:szCs w:val="28"/>
          <w:highlight w:val="none"/>
          <w:lang w:val="en-US" w:eastAsia="zh-CN"/>
        </w:rPr>
        <w:t>1</w:t>
      </w:r>
      <w:r>
        <w:rPr>
          <w:rFonts w:hint="eastAsia" w:ascii="仿宋" w:hAnsi="仿宋" w:eastAsia="仿宋" w:cs="仿宋"/>
          <w:snapToGrid/>
          <w:color w:val="auto"/>
          <w:sz w:val="28"/>
          <w:szCs w:val="28"/>
          <w:highlight w:val="none"/>
          <w:lang w:eastAsia="zh-CN"/>
        </w:rPr>
        <w:t>月</w:t>
      </w:r>
      <w:r>
        <w:rPr>
          <w:rFonts w:hint="eastAsia" w:ascii="仿宋" w:hAnsi="仿宋" w:eastAsia="仿宋" w:cs="仿宋"/>
          <w:snapToGrid/>
          <w:color w:val="auto"/>
          <w:sz w:val="28"/>
          <w:szCs w:val="28"/>
          <w:highlight w:val="none"/>
          <w:lang w:val="en-US" w:eastAsia="zh-CN"/>
        </w:rPr>
        <w:t>31</w:t>
      </w:r>
      <w:bookmarkStart w:id="0" w:name="_GoBack"/>
      <w:bookmarkEnd w:id="0"/>
      <w:r>
        <w:rPr>
          <w:rFonts w:hint="eastAsia" w:ascii="仿宋" w:hAnsi="仿宋" w:eastAsia="仿宋" w:cs="仿宋"/>
          <w:snapToGrid/>
          <w:color w:val="auto"/>
          <w:sz w:val="28"/>
          <w:szCs w:val="28"/>
          <w:highlight w:val="none"/>
          <w:lang w:eastAsia="zh-CN"/>
        </w:rPr>
        <w:t>日</w:t>
      </w:r>
      <w:r>
        <w:rPr>
          <w:rFonts w:hint="eastAsia" w:ascii="仿宋" w:hAnsi="仿宋" w:eastAsia="仿宋" w:cs="仿宋"/>
          <w:snapToGrid/>
          <w:color w:val="auto"/>
          <w:sz w:val="28"/>
          <w:szCs w:val="28"/>
          <w:highlight w:val="none"/>
          <w:lang w:eastAsia="zh-CN"/>
        </w:rPr>
        <w:t>上午1</w:t>
      </w:r>
      <w:r>
        <w:rPr>
          <w:rFonts w:hint="eastAsia" w:ascii="仿宋" w:hAnsi="仿宋" w:eastAsia="仿宋" w:cs="仿宋"/>
          <w:snapToGrid/>
          <w:color w:val="auto"/>
          <w:sz w:val="28"/>
          <w:szCs w:val="28"/>
          <w:highlight w:val="none"/>
          <w:lang w:val="en-US" w:eastAsia="zh-CN"/>
        </w:rPr>
        <w:t>0</w:t>
      </w:r>
      <w:r>
        <w:rPr>
          <w:rFonts w:hint="eastAsia" w:ascii="仿宋" w:hAnsi="仿宋" w:eastAsia="仿宋" w:cs="仿宋"/>
          <w:snapToGrid/>
          <w:color w:val="auto"/>
          <w:sz w:val="28"/>
          <w:szCs w:val="28"/>
          <w:highlight w:val="none"/>
          <w:lang w:eastAsia="zh-CN"/>
        </w:rPr>
        <w:t>时前</w:t>
      </w:r>
      <w:r>
        <w:rPr>
          <w:rFonts w:hint="eastAsia" w:ascii="仿宋" w:hAnsi="仿宋" w:eastAsia="仿宋" w:cs="仿宋"/>
          <w:snapToGrid/>
          <w:color w:val="auto"/>
          <w:sz w:val="28"/>
          <w:szCs w:val="28"/>
          <w:lang w:eastAsia="zh-CN"/>
        </w:rPr>
        <w:t>递交（或邮寄）。</w:t>
      </w:r>
    </w:p>
    <w:p w14:paraId="45DC4162">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snapToGrid/>
          <w:sz w:val="28"/>
          <w:szCs w:val="28"/>
          <w:lang w:eastAsia="zh-CN"/>
        </w:rPr>
      </w:pPr>
      <w:r>
        <w:rPr>
          <w:rFonts w:hint="eastAsia" w:ascii="仿宋" w:hAnsi="仿宋" w:eastAsia="仿宋" w:cs="仿宋"/>
          <w:b/>
          <w:bCs/>
          <w:snapToGrid/>
          <w:sz w:val="28"/>
          <w:szCs w:val="28"/>
          <w:lang w:eastAsia="zh-CN"/>
        </w:rPr>
        <w:t>四、</w:t>
      </w:r>
      <w:r>
        <w:rPr>
          <w:rFonts w:hint="eastAsia" w:ascii="仿宋" w:hAnsi="仿宋" w:eastAsia="仿宋" w:cs="仿宋"/>
          <w:b/>
          <w:bCs/>
          <w:sz w:val="28"/>
          <w:szCs w:val="28"/>
          <w:lang w:val="en-US" w:eastAsia="zh-CN"/>
        </w:rPr>
        <w:t>报价</w:t>
      </w:r>
      <w:r>
        <w:rPr>
          <w:rFonts w:hint="eastAsia" w:ascii="仿宋" w:hAnsi="仿宋" w:eastAsia="仿宋" w:cs="仿宋"/>
          <w:b/>
          <w:bCs/>
          <w:sz w:val="28"/>
          <w:szCs w:val="28"/>
        </w:rPr>
        <w:t>人</w:t>
      </w:r>
      <w:r>
        <w:rPr>
          <w:rFonts w:hint="eastAsia" w:ascii="仿宋" w:hAnsi="仿宋" w:eastAsia="仿宋" w:cs="仿宋"/>
          <w:b/>
          <w:bCs/>
          <w:snapToGrid/>
          <w:sz w:val="28"/>
          <w:szCs w:val="28"/>
        </w:rPr>
        <w:t>需提供以下材料</w:t>
      </w:r>
      <w:r>
        <w:rPr>
          <w:rFonts w:hint="eastAsia" w:ascii="仿宋" w:hAnsi="仿宋" w:eastAsia="仿宋" w:cs="仿宋"/>
          <w:b/>
          <w:bCs/>
          <w:snapToGrid/>
          <w:color w:val="auto"/>
          <w:sz w:val="28"/>
          <w:szCs w:val="28"/>
          <w:lang w:eastAsia="zh-CN"/>
        </w:rPr>
        <w:t>：</w:t>
      </w:r>
    </w:p>
    <w:p w14:paraId="483C7BE0">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val="en-US" w:eastAsia="zh-CN"/>
        </w:rPr>
        <w:t>1.营业执照；</w:t>
      </w:r>
    </w:p>
    <w:p w14:paraId="27921554">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snapToGrid/>
          <w:color w:val="auto"/>
          <w:sz w:val="28"/>
          <w:szCs w:val="28"/>
          <w:lang w:val="en-US" w:eastAsia="zh-CN"/>
        </w:rPr>
      </w:pPr>
      <w:r>
        <w:rPr>
          <w:rFonts w:hint="eastAsia" w:ascii="仿宋" w:hAnsi="仿宋" w:eastAsia="仿宋" w:cs="仿宋"/>
          <w:b/>
          <w:bCs/>
          <w:snapToGrid/>
          <w:color w:val="auto"/>
          <w:sz w:val="28"/>
          <w:szCs w:val="28"/>
          <w:lang w:val="en-US" w:eastAsia="zh-CN"/>
        </w:rPr>
        <w:t>上述材料必须加盖单位公章。</w:t>
      </w:r>
    </w:p>
    <w:p w14:paraId="1B862ABB">
      <w:pPr>
        <w:keepNext w:val="0"/>
        <w:keepLines w:val="0"/>
        <w:pageBreakBefore w:val="0"/>
        <w:kinsoku/>
        <w:wordWrap/>
        <w:overflowPunct/>
        <w:topLinePunct w:val="0"/>
        <w:autoSpaceDE/>
        <w:autoSpaceDN/>
        <w:bidi w:val="0"/>
        <w:adjustRightInd/>
        <w:snapToGrid/>
        <w:spacing w:line="288" w:lineRule="auto"/>
        <w:ind w:right="0" w:firstLine="562" w:firstLineChars="200"/>
        <w:jc w:val="left"/>
        <w:textAlignment w:val="auto"/>
        <w:rPr>
          <w:rFonts w:hint="eastAsia" w:ascii="仿宋" w:hAnsi="仿宋" w:eastAsia="仿宋" w:cs="仿宋"/>
          <w:b/>
          <w:bCs/>
          <w:snapToGrid/>
          <w:sz w:val="28"/>
          <w:szCs w:val="28"/>
          <w:lang w:eastAsia="zh-CN"/>
        </w:rPr>
      </w:pPr>
      <w:r>
        <w:rPr>
          <w:rFonts w:hint="eastAsia" w:ascii="仿宋" w:hAnsi="仿宋" w:eastAsia="仿宋" w:cs="仿宋"/>
          <w:b/>
          <w:bCs/>
          <w:snapToGrid/>
          <w:sz w:val="28"/>
          <w:szCs w:val="28"/>
          <w:lang w:eastAsia="zh-CN"/>
        </w:rPr>
        <w:t>五、联系方式：</w:t>
      </w:r>
    </w:p>
    <w:p w14:paraId="4F9EC2AB">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采购人：中煤长江基础建设有限公司</w:t>
      </w:r>
      <w:r>
        <w:rPr>
          <w:rFonts w:hint="eastAsia" w:ascii="仿宋" w:hAnsi="仿宋" w:eastAsia="仿宋" w:cs="仿宋"/>
          <w:snapToGrid/>
          <w:color w:val="auto"/>
          <w:sz w:val="28"/>
          <w:szCs w:val="28"/>
          <w:lang w:val="en-US" w:eastAsia="zh-CN"/>
        </w:rPr>
        <w:t>镇江分公司</w:t>
      </w:r>
    </w:p>
    <w:p w14:paraId="2E0519EF">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地址：江苏省</w:t>
      </w:r>
      <w:r>
        <w:rPr>
          <w:rFonts w:hint="eastAsia" w:ascii="仿宋" w:hAnsi="仿宋" w:eastAsia="仿宋" w:cs="仿宋"/>
          <w:snapToGrid/>
          <w:color w:val="auto"/>
          <w:sz w:val="28"/>
          <w:szCs w:val="28"/>
          <w:lang w:val="en-US" w:eastAsia="zh-CN"/>
        </w:rPr>
        <w:t>润州区蒋乔街道乔家门路66号</w:t>
      </w:r>
    </w:p>
    <w:p w14:paraId="2FB381A4">
      <w:pPr>
        <w:keepNext w:val="0"/>
        <w:keepLines w:val="0"/>
        <w:pageBreakBefore w:val="0"/>
        <w:kinsoku/>
        <w:wordWrap/>
        <w:overflowPunct/>
        <w:topLinePunct w:val="0"/>
        <w:autoSpaceDE/>
        <w:autoSpaceDN/>
        <w:bidi w:val="0"/>
        <w:adjustRightInd/>
        <w:snapToGrid/>
        <w:spacing w:line="288" w:lineRule="auto"/>
        <w:ind w:right="0" w:firstLine="560" w:firstLineChars="200"/>
        <w:jc w:val="left"/>
        <w:textAlignment w:val="auto"/>
        <w:rPr>
          <w:rFonts w:hint="default" w:ascii="仿宋" w:hAnsi="仿宋" w:eastAsia="仿宋" w:cs="仿宋"/>
          <w:snapToGrid/>
          <w:color w:val="auto"/>
          <w:sz w:val="28"/>
          <w:szCs w:val="28"/>
          <w:lang w:val="en-US" w:eastAsia="zh-CN"/>
        </w:rPr>
      </w:pPr>
      <w:r>
        <w:rPr>
          <w:rFonts w:hint="eastAsia" w:ascii="仿宋" w:hAnsi="仿宋" w:eastAsia="仿宋" w:cs="仿宋"/>
          <w:snapToGrid/>
          <w:color w:val="auto"/>
          <w:sz w:val="28"/>
          <w:szCs w:val="28"/>
          <w:lang w:eastAsia="zh-CN"/>
        </w:rPr>
        <w:t>联系人：</w:t>
      </w:r>
      <w:r>
        <w:rPr>
          <w:rFonts w:hint="eastAsia" w:ascii="仿宋" w:hAnsi="仿宋" w:eastAsia="仿宋" w:cs="仿宋"/>
          <w:snapToGrid/>
          <w:color w:val="auto"/>
          <w:sz w:val="28"/>
          <w:szCs w:val="28"/>
          <w:lang w:val="en-US" w:eastAsia="zh-CN"/>
        </w:rPr>
        <w:t>杜经理</w:t>
      </w:r>
      <w:r>
        <w:rPr>
          <w:rFonts w:hint="eastAsia" w:ascii="仿宋" w:hAnsi="仿宋" w:eastAsia="仿宋" w:cs="仿宋"/>
          <w:snapToGrid/>
          <w:color w:val="auto"/>
          <w:sz w:val="28"/>
          <w:szCs w:val="28"/>
          <w:lang w:eastAsia="zh-CN"/>
        </w:rPr>
        <w:t xml:space="preserve"> </w:t>
      </w:r>
      <w:r>
        <w:rPr>
          <w:rFonts w:hint="eastAsia" w:ascii="仿宋" w:hAnsi="仿宋" w:eastAsia="仿宋" w:cs="仿宋"/>
          <w:snapToGrid/>
          <w:color w:val="auto"/>
          <w:sz w:val="28"/>
          <w:szCs w:val="28"/>
          <w:lang w:val="en-US" w:eastAsia="zh-CN"/>
        </w:rPr>
        <w:t xml:space="preserve">        </w:t>
      </w:r>
      <w:r>
        <w:rPr>
          <w:rFonts w:hint="eastAsia" w:ascii="仿宋" w:hAnsi="仿宋" w:eastAsia="仿宋" w:cs="仿宋"/>
          <w:snapToGrid/>
          <w:color w:val="auto"/>
          <w:sz w:val="28"/>
          <w:szCs w:val="28"/>
          <w:lang w:eastAsia="zh-CN"/>
        </w:rPr>
        <w:t>联系电话：</w:t>
      </w:r>
      <w:r>
        <w:rPr>
          <w:rFonts w:hint="eastAsia" w:ascii="仿宋" w:hAnsi="仿宋" w:eastAsia="仿宋" w:cs="仿宋"/>
          <w:snapToGrid/>
          <w:color w:val="auto"/>
          <w:sz w:val="28"/>
          <w:szCs w:val="28"/>
          <w:lang w:val="en-US" w:eastAsia="zh-CN"/>
        </w:rPr>
        <w:t>0511-88052816</w:t>
      </w:r>
    </w:p>
    <w:p w14:paraId="77B9C77A">
      <w:pPr>
        <w:keepNext w:val="0"/>
        <w:keepLines w:val="0"/>
        <w:pageBreakBefore w:val="0"/>
        <w:kinsoku/>
        <w:wordWrap/>
        <w:overflowPunct/>
        <w:topLinePunct w:val="0"/>
        <w:autoSpaceDE/>
        <w:autoSpaceDN/>
        <w:bidi w:val="0"/>
        <w:adjustRightInd/>
        <w:snapToGrid/>
        <w:spacing w:line="288" w:lineRule="auto"/>
        <w:ind w:right="11" w:firstLine="560" w:firstLineChars="200"/>
        <w:textAlignment w:val="auto"/>
        <w:rPr>
          <w:rFonts w:hint="eastAsia" w:ascii="仿宋" w:hAnsi="仿宋" w:eastAsia="仿宋" w:cs="仿宋"/>
          <w:snapToGrid/>
          <w:color w:val="auto"/>
          <w:sz w:val="28"/>
          <w:szCs w:val="28"/>
          <w:lang w:val="en-US" w:eastAsia="zh-CN"/>
        </w:rPr>
      </w:pPr>
    </w:p>
    <w:p w14:paraId="3F741DE4">
      <w:pPr>
        <w:keepNext w:val="0"/>
        <w:keepLines w:val="0"/>
        <w:pageBreakBefore w:val="0"/>
        <w:kinsoku/>
        <w:wordWrap/>
        <w:overflowPunct/>
        <w:topLinePunct w:val="0"/>
        <w:autoSpaceDE/>
        <w:autoSpaceDN/>
        <w:bidi w:val="0"/>
        <w:adjustRightInd/>
        <w:snapToGrid/>
        <w:spacing w:line="288" w:lineRule="auto"/>
        <w:ind w:left="0" w:leftChars="0" w:right="12" w:firstLine="3998" w:firstLineChars="1428"/>
        <w:jc w:val="center"/>
        <w:textAlignment w:val="auto"/>
        <w:rPr>
          <w:rFonts w:hint="eastAsia" w:ascii="仿宋" w:hAnsi="仿宋" w:eastAsia="仿宋" w:cs="仿宋"/>
          <w:b w:val="0"/>
          <w:snapToGrid/>
          <w:color w:val="000000"/>
          <w:sz w:val="28"/>
          <w:szCs w:val="28"/>
          <w:lang w:val="en-US" w:eastAsia="zh-CN" w:bidi="ar-SA"/>
        </w:rPr>
      </w:pPr>
      <w:r>
        <w:rPr>
          <w:rFonts w:hint="eastAsia" w:ascii="仿宋" w:hAnsi="仿宋" w:eastAsia="仿宋" w:cs="仿宋"/>
          <w:b w:val="0"/>
          <w:snapToGrid/>
          <w:color w:val="000000"/>
          <w:sz w:val="28"/>
          <w:szCs w:val="28"/>
          <w:lang w:val="en-US" w:eastAsia="zh-CN" w:bidi="ar-SA"/>
        </w:rPr>
        <w:t>中煤长江基础建设有限公司</w:t>
      </w:r>
    </w:p>
    <w:p w14:paraId="2D1A4F84">
      <w:pPr>
        <w:keepNext w:val="0"/>
        <w:keepLines w:val="0"/>
        <w:pageBreakBefore w:val="0"/>
        <w:kinsoku/>
        <w:wordWrap/>
        <w:overflowPunct/>
        <w:topLinePunct w:val="0"/>
        <w:autoSpaceDE/>
        <w:autoSpaceDN/>
        <w:bidi w:val="0"/>
        <w:adjustRightInd/>
        <w:snapToGrid/>
        <w:spacing w:line="288" w:lineRule="auto"/>
        <w:ind w:left="0" w:leftChars="0" w:right="11" w:firstLine="5460" w:firstLineChars="1950"/>
        <w:textAlignment w:val="auto"/>
        <w:rPr>
          <w:rFonts w:hint="eastAsia" w:ascii="仿宋" w:hAnsi="仿宋" w:eastAsia="仿宋" w:cs="仿宋"/>
          <w:b w:val="0"/>
          <w:snapToGrid/>
          <w:sz w:val="28"/>
          <w:szCs w:val="28"/>
          <w:lang w:val="en-US" w:eastAsia="zh-CN"/>
        </w:rPr>
        <w:sectPr>
          <w:footerReference r:id="rId3" w:type="default"/>
          <w:pgSz w:w="11906" w:h="16839"/>
          <w:pgMar w:top="810" w:right="1278" w:bottom="909" w:left="1388" w:header="0" w:footer="414" w:gutter="0"/>
          <w:cols w:space="0" w:num="1"/>
          <w:rtlGutter w:val="0"/>
          <w:docGrid w:linePitch="0" w:charSpace="0"/>
        </w:sectPr>
      </w:pPr>
      <w:r>
        <w:rPr>
          <w:rFonts w:hint="eastAsia" w:ascii="仿宋" w:hAnsi="仿宋" w:eastAsia="仿宋" w:cs="仿宋"/>
          <w:snapToGrid/>
          <w:color w:val="auto"/>
          <w:sz w:val="28"/>
          <w:szCs w:val="28"/>
          <w:highlight w:val="none"/>
          <w:lang w:eastAsia="zh-CN"/>
        </w:rPr>
        <w:t>202</w:t>
      </w:r>
      <w:r>
        <w:rPr>
          <w:rFonts w:hint="eastAsia" w:ascii="仿宋" w:hAnsi="仿宋" w:eastAsia="仿宋" w:cs="仿宋"/>
          <w:snapToGrid/>
          <w:color w:val="auto"/>
          <w:sz w:val="28"/>
          <w:szCs w:val="28"/>
          <w:highlight w:val="none"/>
          <w:lang w:val="en-US" w:eastAsia="zh-CN"/>
        </w:rPr>
        <w:t>6</w:t>
      </w:r>
      <w:r>
        <w:rPr>
          <w:rFonts w:hint="eastAsia" w:ascii="仿宋" w:hAnsi="仿宋" w:eastAsia="仿宋" w:cs="仿宋"/>
          <w:b w:val="0"/>
          <w:snapToGrid/>
          <w:sz w:val="28"/>
          <w:szCs w:val="28"/>
          <w:highlight w:val="none"/>
          <w:lang w:eastAsia="zh-CN"/>
        </w:rPr>
        <w:t>年</w:t>
      </w:r>
      <w:r>
        <w:rPr>
          <w:rFonts w:hint="eastAsia" w:ascii="仿宋" w:hAnsi="仿宋" w:eastAsia="仿宋" w:cs="仿宋"/>
          <w:b w:val="0"/>
          <w:snapToGrid/>
          <w:sz w:val="28"/>
          <w:szCs w:val="28"/>
          <w:highlight w:val="none"/>
          <w:lang w:val="en-US" w:eastAsia="zh-CN"/>
        </w:rPr>
        <w:t>1</w:t>
      </w:r>
      <w:r>
        <w:rPr>
          <w:rFonts w:hint="eastAsia" w:ascii="仿宋" w:hAnsi="仿宋" w:eastAsia="仿宋" w:cs="仿宋"/>
          <w:b w:val="0"/>
          <w:snapToGrid/>
          <w:sz w:val="28"/>
          <w:szCs w:val="28"/>
          <w:highlight w:val="none"/>
          <w:lang w:eastAsia="zh-CN"/>
        </w:rPr>
        <w:t>月</w:t>
      </w:r>
      <w:r>
        <w:rPr>
          <w:rFonts w:hint="eastAsia" w:ascii="仿宋" w:hAnsi="仿宋" w:eastAsia="仿宋" w:cs="仿宋"/>
          <w:b w:val="0"/>
          <w:snapToGrid/>
          <w:sz w:val="28"/>
          <w:szCs w:val="28"/>
          <w:highlight w:val="none"/>
          <w:lang w:val="en-US" w:eastAsia="zh-CN"/>
        </w:rPr>
        <w:t>27日</w:t>
      </w:r>
    </w:p>
    <w:p w14:paraId="695A3E3B">
      <w:pPr>
        <w:ind w:firstLine="361" w:firstLineChars="100"/>
        <w:jc w:val="center"/>
        <w:rPr>
          <w:rFonts w:hint="default" w:ascii="宋体" w:hAnsi="宋体" w:eastAsia="宋体" w:cs="宋体"/>
          <w:b/>
          <w:bCs w:val="0"/>
          <w:color w:val="auto"/>
          <w:sz w:val="36"/>
          <w:szCs w:val="36"/>
          <w:lang w:val="en-US" w:eastAsia="zh-CN"/>
        </w:rPr>
      </w:pPr>
      <w:r>
        <w:rPr>
          <w:rFonts w:hint="eastAsia" w:cs="仿宋" w:asciiTheme="minorEastAsia" w:hAnsiTheme="minorEastAsia" w:eastAsiaTheme="minorEastAsia"/>
          <w:b/>
          <w:color w:val="auto"/>
          <w:sz w:val="36"/>
          <w:szCs w:val="36"/>
          <w:lang w:val="en-US" w:eastAsia="zh-CN"/>
        </w:rPr>
        <w:t>中煤长江基础建设有限公司</w:t>
      </w:r>
    </w:p>
    <w:p w14:paraId="44AD05B2">
      <w:pPr>
        <w:ind w:firstLine="440" w:firstLineChars="100"/>
        <w:jc w:val="center"/>
        <w:rPr>
          <w:rFonts w:hint="eastAsia" w:ascii="宋体" w:hAnsi="宋体" w:eastAsia="宋体" w:cs="宋体"/>
          <w:b/>
          <w:bCs w:val="0"/>
          <w:color w:val="auto"/>
          <w:sz w:val="44"/>
          <w:szCs w:val="44"/>
          <w:lang w:val="en-US" w:eastAsia="zh-CN"/>
        </w:rPr>
      </w:pPr>
      <w:r>
        <w:rPr>
          <w:rFonts w:hint="eastAsia" w:ascii="宋体" w:hAnsi="宋体" w:cs="宋体"/>
          <w:b/>
          <w:bCs w:val="0"/>
          <w:color w:val="auto"/>
          <w:sz w:val="44"/>
          <w:szCs w:val="44"/>
          <w:lang w:val="en-US" w:eastAsia="zh-CN"/>
        </w:rPr>
        <w:t>分包</w:t>
      </w:r>
      <w:r>
        <w:rPr>
          <w:rFonts w:hint="eastAsia" w:ascii="宋体" w:hAnsi="宋体" w:eastAsia="宋体" w:cs="宋体"/>
          <w:b/>
          <w:bCs w:val="0"/>
          <w:color w:val="auto"/>
          <w:sz w:val="44"/>
          <w:szCs w:val="44"/>
          <w:lang w:val="en-US" w:eastAsia="zh-CN"/>
        </w:rPr>
        <w:t>报价表</w:t>
      </w:r>
    </w:p>
    <w:p w14:paraId="1D661D0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项目概况：</w:t>
      </w:r>
    </w:p>
    <w:p w14:paraId="6FBACDFC">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工程名称：中央储备粮茂名直属库有限公司仓储项目二期施工总承包标段一桩基及基坑支护工程</w:t>
      </w:r>
    </w:p>
    <w:p w14:paraId="3B571C11">
      <w:pPr>
        <w:keepNext w:val="0"/>
        <w:keepLines w:val="0"/>
        <w:pageBreakBefore w:val="0"/>
        <w:widowControl w:val="0"/>
        <w:numPr>
          <w:ilvl w:val="0"/>
          <w:numId w:val="2"/>
        </w:numPr>
        <w:tabs>
          <w:tab w:val="left" w:pos="630"/>
          <w:tab w:val="left" w:pos="840"/>
          <w:tab w:val="left" w:pos="1060"/>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工程地点：广东省茂名滨海新区</w:t>
      </w:r>
    </w:p>
    <w:p w14:paraId="642475C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报价信息：</w:t>
      </w:r>
    </w:p>
    <w:tbl>
      <w:tblPr>
        <w:tblStyle w:val="9"/>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255"/>
        <w:gridCol w:w="1050"/>
        <w:gridCol w:w="1350"/>
        <w:gridCol w:w="1710"/>
        <w:gridCol w:w="1320"/>
        <w:gridCol w:w="1453"/>
      </w:tblGrid>
      <w:tr w14:paraId="26A6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750" w:type="dxa"/>
            <w:vAlign w:val="center"/>
          </w:tcPr>
          <w:p w14:paraId="2BAF6FE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lang w:val="en-US" w:eastAsia="zh-CN"/>
              </w:rPr>
              <w:t>序号</w:t>
            </w:r>
          </w:p>
        </w:tc>
        <w:tc>
          <w:tcPr>
            <w:tcW w:w="2255" w:type="dxa"/>
            <w:vAlign w:val="center"/>
          </w:tcPr>
          <w:p w14:paraId="167AC56F">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名称</w:t>
            </w:r>
          </w:p>
        </w:tc>
        <w:tc>
          <w:tcPr>
            <w:tcW w:w="1050" w:type="dxa"/>
            <w:vAlign w:val="center"/>
          </w:tcPr>
          <w:p w14:paraId="42558B0B">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单位</w:t>
            </w:r>
          </w:p>
        </w:tc>
        <w:tc>
          <w:tcPr>
            <w:tcW w:w="1350" w:type="dxa"/>
            <w:vAlign w:val="center"/>
          </w:tcPr>
          <w:p w14:paraId="4E607A96">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暂定数量</w:t>
            </w:r>
          </w:p>
        </w:tc>
        <w:tc>
          <w:tcPr>
            <w:tcW w:w="1710" w:type="dxa"/>
            <w:vAlign w:val="center"/>
          </w:tcPr>
          <w:p w14:paraId="4E3066B3">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含税单价(元)</w:t>
            </w:r>
          </w:p>
        </w:tc>
        <w:tc>
          <w:tcPr>
            <w:tcW w:w="1320" w:type="dxa"/>
            <w:vAlign w:val="center"/>
          </w:tcPr>
          <w:p w14:paraId="1C1943D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合计（元）</w:t>
            </w:r>
          </w:p>
        </w:tc>
        <w:tc>
          <w:tcPr>
            <w:tcW w:w="1453" w:type="dxa"/>
            <w:vAlign w:val="center"/>
          </w:tcPr>
          <w:p w14:paraId="0C66AFB9">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备注</w:t>
            </w:r>
          </w:p>
        </w:tc>
      </w:tr>
      <w:tr w14:paraId="684C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50" w:type="dxa"/>
            <w:vAlign w:val="center"/>
          </w:tcPr>
          <w:p w14:paraId="1C824621">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2255" w:type="dxa"/>
            <w:vAlign w:val="center"/>
          </w:tcPr>
          <w:p w14:paraId="3357E84A">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P.O 42.5海螺水泥</w:t>
            </w:r>
          </w:p>
        </w:tc>
        <w:tc>
          <w:tcPr>
            <w:tcW w:w="1050" w:type="dxa"/>
            <w:vAlign w:val="center"/>
          </w:tcPr>
          <w:p w14:paraId="0D7317AE">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吨</w:t>
            </w:r>
          </w:p>
        </w:tc>
        <w:tc>
          <w:tcPr>
            <w:tcW w:w="1350" w:type="dxa"/>
            <w:vAlign w:val="center"/>
          </w:tcPr>
          <w:p w14:paraId="1DF94DD7">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400</w:t>
            </w:r>
          </w:p>
        </w:tc>
        <w:tc>
          <w:tcPr>
            <w:tcW w:w="1710" w:type="dxa"/>
            <w:vAlign w:val="center"/>
          </w:tcPr>
          <w:p w14:paraId="297AADA0">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p>
        </w:tc>
        <w:tc>
          <w:tcPr>
            <w:tcW w:w="1320" w:type="dxa"/>
            <w:vAlign w:val="center"/>
          </w:tcPr>
          <w:p w14:paraId="1560A61E">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p>
        </w:tc>
        <w:tc>
          <w:tcPr>
            <w:tcW w:w="1453" w:type="dxa"/>
            <w:vAlign w:val="center"/>
          </w:tcPr>
          <w:p w14:paraId="4C37C20F">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default" w:ascii="仿宋" w:hAnsi="仿宋" w:eastAsia="仿宋" w:cs="仿宋"/>
                <w:color w:val="auto"/>
                <w:sz w:val="24"/>
                <w:szCs w:val="24"/>
                <w:u w:val="single"/>
                <w:vertAlign w:val="baseline"/>
                <w:lang w:val="en-US" w:eastAsia="zh-CN"/>
              </w:rPr>
            </w:pPr>
            <w:r>
              <w:rPr>
                <w:rFonts w:hint="eastAsia" w:ascii="仿宋" w:hAnsi="仿宋" w:eastAsia="仿宋" w:cs="仿宋"/>
                <w:color w:val="auto"/>
                <w:sz w:val="24"/>
                <w:szCs w:val="24"/>
                <w:vertAlign w:val="baseline"/>
                <w:lang w:val="en-US" w:eastAsia="zh-CN"/>
              </w:rPr>
              <w:t>散装</w:t>
            </w:r>
          </w:p>
        </w:tc>
      </w:tr>
      <w:tr w14:paraId="0311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50" w:type="dxa"/>
            <w:vAlign w:val="center"/>
          </w:tcPr>
          <w:p w14:paraId="7B16B58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default" w:ascii="仿宋" w:hAnsi="仿宋" w:eastAsia="仿宋" w:cs="仿宋"/>
                <w:color w:val="auto"/>
                <w:sz w:val="24"/>
                <w:szCs w:val="24"/>
                <w:vertAlign w:val="baseline"/>
                <w:lang w:val="en-US" w:eastAsia="zh-CN"/>
              </w:rPr>
            </w:pPr>
          </w:p>
        </w:tc>
        <w:tc>
          <w:tcPr>
            <w:tcW w:w="6365" w:type="dxa"/>
            <w:gridSpan w:val="4"/>
            <w:vAlign w:val="center"/>
          </w:tcPr>
          <w:p w14:paraId="718317A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outlineLvl w:val="9"/>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合计（大写）：</w:t>
            </w:r>
          </w:p>
        </w:tc>
        <w:tc>
          <w:tcPr>
            <w:tcW w:w="1320" w:type="dxa"/>
            <w:vAlign w:val="center"/>
          </w:tcPr>
          <w:p w14:paraId="38037C9B">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p>
        </w:tc>
        <w:tc>
          <w:tcPr>
            <w:tcW w:w="1453" w:type="dxa"/>
            <w:vAlign w:val="center"/>
          </w:tcPr>
          <w:p w14:paraId="07575824">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 w:hAnsi="仿宋" w:eastAsia="仿宋" w:cs="仿宋"/>
                <w:color w:val="auto"/>
                <w:sz w:val="24"/>
                <w:szCs w:val="24"/>
                <w:vertAlign w:val="baseline"/>
                <w:lang w:val="en-US" w:eastAsia="zh-CN"/>
              </w:rPr>
            </w:pPr>
          </w:p>
        </w:tc>
      </w:tr>
    </w:tbl>
    <w:p w14:paraId="4BF2285C">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付款方式：</w:t>
      </w:r>
    </w:p>
    <w:p w14:paraId="144A1C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银行转账。</w:t>
      </w:r>
    </w:p>
    <w:p w14:paraId="787CCC3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jc w:val="left"/>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投标报价说明：</w:t>
      </w:r>
    </w:p>
    <w:p w14:paraId="40E822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1、所有价格采用人民币报价</w:t>
      </w:r>
      <w:r>
        <w:rPr>
          <w:rFonts w:hint="eastAsia" w:ascii="仿宋" w:hAnsi="仿宋" w:eastAsia="仿宋" w:cs="仿宋"/>
          <w:color w:val="auto"/>
          <w:sz w:val="24"/>
          <w:szCs w:val="24"/>
          <w:lang w:eastAsia="zh-CN"/>
        </w:rPr>
        <w:t>，单价均含税（</w:t>
      </w:r>
      <w:r>
        <w:rPr>
          <w:rFonts w:hint="eastAsia" w:ascii="仿宋" w:hAnsi="仿宋" w:eastAsia="仿宋" w:cs="仿宋"/>
          <w:color w:val="auto"/>
          <w:sz w:val="24"/>
          <w:szCs w:val="24"/>
          <w:lang w:val="en-US" w:eastAsia="zh-CN"/>
        </w:rPr>
        <w:t>增值税专票税率13%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w:t>
      </w:r>
    </w:p>
    <w:p w14:paraId="100A38B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报价</w:t>
      </w:r>
      <w:r>
        <w:rPr>
          <w:rFonts w:hint="eastAsia" w:ascii="仿宋" w:hAnsi="仿宋" w:eastAsia="仿宋" w:cs="仿宋"/>
          <w:color w:val="auto"/>
          <w:sz w:val="24"/>
          <w:szCs w:val="24"/>
          <w:lang w:val="en-US" w:eastAsia="zh-CN"/>
        </w:rPr>
        <w:t>含</w:t>
      </w:r>
      <w:r>
        <w:rPr>
          <w:rFonts w:hint="eastAsia" w:ascii="仿宋" w:hAnsi="仿宋" w:eastAsia="仿宋" w:cs="仿宋"/>
          <w:color w:val="auto"/>
          <w:sz w:val="24"/>
          <w:szCs w:val="24"/>
          <w:lang w:eastAsia="zh-CN"/>
        </w:rPr>
        <w:t>运送到甲方指定地点的运输费、装卸费、税金等所有费用，货物运输风险由乙方承担；</w:t>
      </w:r>
    </w:p>
    <w:p w14:paraId="608F26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报价人</w:t>
      </w:r>
      <w:r>
        <w:rPr>
          <w:rFonts w:hint="eastAsia" w:ascii="仿宋" w:hAnsi="仿宋" w:eastAsia="仿宋" w:cs="仿宋"/>
          <w:color w:val="auto"/>
          <w:sz w:val="24"/>
          <w:szCs w:val="24"/>
        </w:rPr>
        <w:t>对现场情况</w:t>
      </w:r>
      <w:r>
        <w:rPr>
          <w:rFonts w:hint="eastAsia" w:ascii="仿宋" w:hAnsi="仿宋" w:eastAsia="仿宋" w:cs="仿宋"/>
          <w:color w:val="auto"/>
          <w:sz w:val="24"/>
          <w:szCs w:val="24"/>
          <w:lang w:eastAsia="zh-CN"/>
        </w:rPr>
        <w:t>已</w:t>
      </w:r>
      <w:r>
        <w:rPr>
          <w:rFonts w:hint="eastAsia" w:ascii="仿宋" w:hAnsi="仿宋" w:eastAsia="仿宋" w:cs="仿宋"/>
          <w:color w:val="auto"/>
          <w:sz w:val="24"/>
          <w:szCs w:val="24"/>
        </w:rPr>
        <w:t>全面细致</w:t>
      </w:r>
      <w:r>
        <w:rPr>
          <w:rFonts w:hint="eastAsia" w:ascii="仿宋" w:hAnsi="仿宋" w:eastAsia="仿宋" w:cs="仿宋"/>
          <w:color w:val="auto"/>
          <w:sz w:val="24"/>
          <w:szCs w:val="24"/>
          <w:lang w:eastAsia="zh-CN"/>
        </w:rPr>
        <w:t>地</w:t>
      </w:r>
      <w:r>
        <w:rPr>
          <w:rFonts w:hint="eastAsia" w:ascii="仿宋" w:hAnsi="仿宋" w:eastAsia="仿宋" w:cs="仿宋"/>
          <w:color w:val="auto"/>
          <w:sz w:val="24"/>
          <w:szCs w:val="24"/>
        </w:rPr>
        <w:t>了解和预估，并能预测到</w:t>
      </w:r>
      <w:r>
        <w:rPr>
          <w:rFonts w:hint="eastAsia" w:ascii="仿宋" w:hAnsi="仿宋" w:eastAsia="仿宋" w:cs="仿宋"/>
          <w:color w:val="auto"/>
          <w:sz w:val="24"/>
          <w:szCs w:val="24"/>
          <w:lang w:val="en-US" w:eastAsia="zh-CN"/>
        </w:rPr>
        <w:t>供应</w:t>
      </w:r>
      <w:r>
        <w:rPr>
          <w:rFonts w:hint="eastAsia" w:ascii="仿宋" w:hAnsi="仿宋" w:eastAsia="仿宋" w:cs="仿宋"/>
          <w:color w:val="auto"/>
          <w:sz w:val="24"/>
          <w:szCs w:val="24"/>
        </w:rPr>
        <w:t>过程中的各种风险因素，</w:t>
      </w:r>
      <w:r>
        <w:rPr>
          <w:rFonts w:hint="eastAsia" w:ascii="仿宋" w:hAnsi="仿宋" w:eastAsia="仿宋" w:cs="仿宋"/>
          <w:color w:val="auto"/>
          <w:sz w:val="24"/>
          <w:szCs w:val="24"/>
          <w:lang w:eastAsia="zh-CN"/>
        </w:rPr>
        <w:t>自愿</w:t>
      </w:r>
      <w:r>
        <w:rPr>
          <w:rFonts w:hint="eastAsia" w:ascii="仿宋" w:hAnsi="仿宋" w:eastAsia="仿宋" w:cs="仿宋"/>
          <w:color w:val="auto"/>
          <w:sz w:val="24"/>
          <w:szCs w:val="24"/>
        </w:rPr>
        <w:t>承担自身承包范围内的所有责任和义务以及各种风险</w:t>
      </w:r>
      <w:r>
        <w:rPr>
          <w:rFonts w:hint="eastAsia" w:ascii="仿宋" w:hAnsi="仿宋" w:eastAsia="仿宋" w:cs="仿宋"/>
          <w:color w:val="auto"/>
          <w:sz w:val="24"/>
          <w:szCs w:val="24"/>
          <w:lang w:eastAsia="zh-CN"/>
        </w:rPr>
        <w:t>；</w:t>
      </w:r>
    </w:p>
    <w:p w14:paraId="613415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val="en-US" w:eastAsia="zh-CN"/>
        </w:rPr>
        <w:t>付款节点：合同中约定。</w:t>
      </w:r>
    </w:p>
    <w:p w14:paraId="2C2E0539">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pPr>
    </w:p>
    <w:p w14:paraId="64445E55">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pPr>
    </w:p>
    <w:p w14:paraId="3FFD089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pPr>
    </w:p>
    <w:p w14:paraId="42DB76B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pPr>
    </w:p>
    <w:p w14:paraId="4EEB1E03">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报价人：</w:t>
      </w:r>
    </w:p>
    <w:p w14:paraId="39E3FFBA">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代   表</w:t>
      </w:r>
      <w:r>
        <w:rPr>
          <w:rFonts w:hint="eastAsia" w:ascii="仿宋" w:hAnsi="仿宋" w:eastAsia="仿宋" w:cs="仿宋"/>
          <w:color w:val="auto"/>
          <w:sz w:val="24"/>
          <w:szCs w:val="24"/>
        </w:rPr>
        <w:t>：</w:t>
      </w:r>
    </w:p>
    <w:p w14:paraId="35886432">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联系电话：</w:t>
      </w:r>
    </w:p>
    <w:p w14:paraId="2934FA0D">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hint="eastAsia" w:ascii="仿宋" w:hAnsi="仿宋" w:eastAsia="仿宋" w:cs="仿宋"/>
          <w:color w:val="auto"/>
          <w:sz w:val="24"/>
          <w:szCs w:val="24"/>
        </w:rPr>
        <w:sectPr>
          <w:pgSz w:w="11906" w:h="16838"/>
          <w:pgMar w:top="1020" w:right="1066" w:bottom="1440" w:left="11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color w:val="auto"/>
          <w:sz w:val="24"/>
          <w:szCs w:val="24"/>
        </w:rPr>
        <w:t>日   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3AFC4664">
      <w:pPr>
        <w:ind w:left="0" w:leftChars="0" w:firstLine="0" w:firstLineChars="0"/>
        <w:jc w:val="center"/>
        <w:rPr>
          <w:rFonts w:hint="default" w:cs="仿宋" w:asciiTheme="minorEastAsia" w:hAnsiTheme="minorEastAsia" w:eastAsiaTheme="minorEastAsia"/>
          <w:b/>
          <w:sz w:val="36"/>
          <w:szCs w:val="36"/>
          <w:lang w:val="en-US" w:eastAsia="zh-CN"/>
        </w:rPr>
        <w:sectPr>
          <w:pgSz w:w="11906" w:h="16838"/>
          <w:pgMar w:top="1020" w:right="1066" w:bottom="898" w:left="1180" w:header="851" w:footer="992" w:gutter="0"/>
          <w:cols w:space="425" w:num="1"/>
          <w:docGrid w:type="lines" w:linePitch="312" w:charSpace="0"/>
        </w:sectPr>
      </w:pPr>
      <w:r>
        <w:rPr>
          <w:rFonts w:hint="eastAsia" w:cs="仿宋" w:asciiTheme="minorEastAsia" w:hAnsiTheme="minorEastAsia" w:eastAsiaTheme="minorEastAsia"/>
          <w:b/>
          <w:sz w:val="36"/>
          <w:szCs w:val="36"/>
          <w:lang w:val="en-US" w:eastAsia="zh-CN"/>
        </w:rPr>
        <w:t>营业执照</w:t>
      </w:r>
    </w:p>
    <w:p w14:paraId="4B95047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eastAsia="zh-CN"/>
        </w:rPr>
      </w:pPr>
    </w:p>
    <w:sectPr>
      <w:pgSz w:w="11906" w:h="16838"/>
      <w:pgMar w:top="1020" w:right="106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E778A">
    <w:pPr>
      <w:spacing w:before="1" w:line="176" w:lineRule="auto"/>
      <w:ind w:left="9"/>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4962B"/>
    <w:multiLevelType w:val="singleLevel"/>
    <w:tmpl w:val="AE64962B"/>
    <w:lvl w:ilvl="0" w:tentative="0">
      <w:start w:val="1"/>
      <w:numFmt w:val="chineseCounting"/>
      <w:suff w:val="nothing"/>
      <w:lvlText w:val="%1、"/>
      <w:lvlJc w:val="left"/>
      <w:pPr>
        <w:ind w:left="-482" w:firstLine="420"/>
      </w:pPr>
      <w:rPr>
        <w:rFonts w:hint="eastAsia"/>
      </w:rPr>
    </w:lvl>
  </w:abstractNum>
  <w:abstractNum w:abstractNumId="1">
    <w:nsid w:val="E31E0E9B"/>
    <w:multiLevelType w:val="singleLevel"/>
    <w:tmpl w:val="E31E0E9B"/>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2YjNkM2UyN2ZiZGM0ZmY4OTc0YWIwZjVjMjgxZTAifQ=="/>
  </w:docVars>
  <w:rsids>
    <w:rsidRoot w:val="00735019"/>
    <w:rsid w:val="002C4F0B"/>
    <w:rsid w:val="006A71F4"/>
    <w:rsid w:val="00735019"/>
    <w:rsid w:val="00C20C98"/>
    <w:rsid w:val="00E91045"/>
    <w:rsid w:val="02193995"/>
    <w:rsid w:val="02497F4C"/>
    <w:rsid w:val="034A63E1"/>
    <w:rsid w:val="04746990"/>
    <w:rsid w:val="05AD31C0"/>
    <w:rsid w:val="0769603B"/>
    <w:rsid w:val="093B0A7F"/>
    <w:rsid w:val="09BA7F64"/>
    <w:rsid w:val="0AC564B3"/>
    <w:rsid w:val="0B134BFA"/>
    <w:rsid w:val="0B542251"/>
    <w:rsid w:val="0B6252A3"/>
    <w:rsid w:val="0B9868BB"/>
    <w:rsid w:val="0BD952E2"/>
    <w:rsid w:val="10ED552F"/>
    <w:rsid w:val="12196A86"/>
    <w:rsid w:val="13541DAA"/>
    <w:rsid w:val="13D15D00"/>
    <w:rsid w:val="140A0CE1"/>
    <w:rsid w:val="155C0DA8"/>
    <w:rsid w:val="169F388D"/>
    <w:rsid w:val="16EF7405"/>
    <w:rsid w:val="17607F1E"/>
    <w:rsid w:val="18BD545C"/>
    <w:rsid w:val="198831A3"/>
    <w:rsid w:val="1ABD02CB"/>
    <w:rsid w:val="1B2531D8"/>
    <w:rsid w:val="1EE503E1"/>
    <w:rsid w:val="1FD42967"/>
    <w:rsid w:val="20EC5573"/>
    <w:rsid w:val="221508BA"/>
    <w:rsid w:val="226513C9"/>
    <w:rsid w:val="22732CB8"/>
    <w:rsid w:val="252A5DD6"/>
    <w:rsid w:val="25385255"/>
    <w:rsid w:val="254D17D4"/>
    <w:rsid w:val="26A90285"/>
    <w:rsid w:val="29407CBA"/>
    <w:rsid w:val="2A231D1E"/>
    <w:rsid w:val="2D820246"/>
    <w:rsid w:val="2E16694E"/>
    <w:rsid w:val="2E9953F2"/>
    <w:rsid w:val="300178CF"/>
    <w:rsid w:val="325D4888"/>
    <w:rsid w:val="340A0F4F"/>
    <w:rsid w:val="3498681F"/>
    <w:rsid w:val="34F6131F"/>
    <w:rsid w:val="36B541CF"/>
    <w:rsid w:val="36BA6444"/>
    <w:rsid w:val="36D64611"/>
    <w:rsid w:val="37367B24"/>
    <w:rsid w:val="375160C1"/>
    <w:rsid w:val="387F42A2"/>
    <w:rsid w:val="399F120C"/>
    <w:rsid w:val="3B082662"/>
    <w:rsid w:val="3B4B2B97"/>
    <w:rsid w:val="3DAE6DC9"/>
    <w:rsid w:val="416956CF"/>
    <w:rsid w:val="418834AA"/>
    <w:rsid w:val="456B6454"/>
    <w:rsid w:val="45AB3AB3"/>
    <w:rsid w:val="45D77082"/>
    <w:rsid w:val="46692061"/>
    <w:rsid w:val="481A3A9E"/>
    <w:rsid w:val="499917D4"/>
    <w:rsid w:val="49B44AC4"/>
    <w:rsid w:val="4A0243CF"/>
    <w:rsid w:val="4AE63BE2"/>
    <w:rsid w:val="4E8979B9"/>
    <w:rsid w:val="54500F03"/>
    <w:rsid w:val="56175D4C"/>
    <w:rsid w:val="5A020A0E"/>
    <w:rsid w:val="5AF47538"/>
    <w:rsid w:val="5C5F735B"/>
    <w:rsid w:val="5DAF5613"/>
    <w:rsid w:val="5DF979BC"/>
    <w:rsid w:val="5E052790"/>
    <w:rsid w:val="611D313F"/>
    <w:rsid w:val="67424E02"/>
    <w:rsid w:val="6A4A10C1"/>
    <w:rsid w:val="6AA830A2"/>
    <w:rsid w:val="6BC43975"/>
    <w:rsid w:val="6BD57FC9"/>
    <w:rsid w:val="6BF076BD"/>
    <w:rsid w:val="6CC97317"/>
    <w:rsid w:val="6FE830B3"/>
    <w:rsid w:val="70DA2ADA"/>
    <w:rsid w:val="7385166A"/>
    <w:rsid w:val="74524D07"/>
    <w:rsid w:val="7567521B"/>
    <w:rsid w:val="76497ACE"/>
    <w:rsid w:val="768128EC"/>
    <w:rsid w:val="76B4010A"/>
    <w:rsid w:val="79F01FCB"/>
    <w:rsid w:val="7A364299"/>
    <w:rsid w:val="7EDB180C"/>
    <w:rsid w:val="7F233313"/>
    <w:rsid w:val="7FC82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basedOn w:val="1"/>
    <w:next w:val="1"/>
    <w:qFormat/>
    <w:uiPriority w:val="0"/>
    <w:pPr>
      <w:keepNext/>
      <w:keepLines/>
      <w:adjustRightInd w:val="0"/>
      <w:spacing w:before="260" w:after="260" w:line="416" w:lineRule="atLeast"/>
      <w:jc w:val="left"/>
      <w:textAlignment w:val="baseline"/>
      <w:outlineLvl w:val="2"/>
    </w:pPr>
    <w:rPr>
      <w:rFonts w:ascii="宋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qFormat/>
    <w:uiPriority w:val="0"/>
    <w:rPr>
      <w:rFonts w:ascii="仿宋" w:hAnsi="仿宋" w:eastAsia="仿宋" w:cs="仿宋"/>
      <w:sz w:val="31"/>
      <w:szCs w:val="31"/>
    </w:rPr>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0"/>
    <w:pPr>
      <w:spacing w:before="100" w:beforeAutospacing="1" w:after="100" w:afterAutospacing="1"/>
    </w:pPr>
    <w:rPr>
      <w:rFonts w:cs="Times New Roman"/>
      <w:sz w:val="24"/>
      <w:lang w:eastAsia="zh-CN"/>
    </w:rPr>
  </w:style>
  <w:style w:type="paragraph" w:styleId="7">
    <w:name w:val="Title"/>
    <w:basedOn w:val="1"/>
    <w:next w:val="1"/>
    <w:qFormat/>
    <w:uiPriority w:val="10"/>
    <w:pPr>
      <w:outlineLvl w:val="2"/>
    </w:pPr>
    <w:rPr>
      <w:rFonts w:eastAsia="仿宋_GB2312" w:cs="黑体"/>
      <w:b/>
      <w:bCs/>
      <w:sz w:val="24"/>
      <w:szCs w:val="3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标4"/>
    <w:basedOn w:val="13"/>
    <w:next w:val="1"/>
    <w:qFormat/>
    <w:uiPriority w:val="99"/>
    <w:pPr>
      <w:ind w:firstLine="560"/>
      <w:outlineLvl w:val="3"/>
    </w:pPr>
  </w:style>
  <w:style w:type="paragraph" w:customStyle="1" w:styleId="13">
    <w:name w:val="标3"/>
    <w:basedOn w:val="14"/>
    <w:next w:val="1"/>
    <w:qFormat/>
    <w:uiPriority w:val="99"/>
    <w:pPr>
      <w:outlineLvl w:val="2"/>
    </w:pPr>
    <w:rPr>
      <w:rFonts w:ascii="宋体" w:hAnsi="宋体"/>
    </w:rPr>
  </w:style>
  <w:style w:type="paragraph" w:customStyle="1" w:styleId="14">
    <w:name w:val="标2"/>
    <w:basedOn w:val="15"/>
    <w:qFormat/>
    <w:uiPriority w:val="99"/>
    <w:pPr>
      <w:keepNext/>
      <w:keepLines/>
      <w:spacing w:beforeLines="0"/>
      <w:outlineLvl w:val="1"/>
    </w:pPr>
    <w:rPr>
      <w:rFonts w:ascii="黑体" w:hAnsi="黑体" w:cs="宋体"/>
      <w:b w:val="0"/>
      <w:sz w:val="28"/>
      <w:szCs w:val="20"/>
    </w:rPr>
  </w:style>
  <w:style w:type="paragraph" w:customStyle="1" w:styleId="15">
    <w:name w:val="标1"/>
    <w:basedOn w:val="7"/>
    <w:qFormat/>
    <w:uiPriority w:val="99"/>
    <w:pPr>
      <w:spacing w:beforeLines="50" w:afterLines="50"/>
    </w:pPr>
    <w:rPr>
      <w:kern w:val="24"/>
      <w:sz w:val="30"/>
      <w:szCs w:val="24"/>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style>
  <w:style w:type="paragraph" w:customStyle="1" w:styleId="18">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793</Words>
  <Characters>860</Characters>
  <Lines>12</Lines>
  <Paragraphs>3</Paragraphs>
  <TotalTime>2</TotalTime>
  <ScaleCrop>false</ScaleCrop>
  <LinksUpToDate>false</LinksUpToDate>
  <CharactersWithSpaces>896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2024-09-09T02:38:00Z</dcterms:created>
  <dc:creator>仗剑红颜</dc:creator>
  <cp:lastModifiedBy>小鬼钓</cp:lastModifiedBy>
  <cp:lastPrinted>2024-08-09T01:57:00Z</cp:lastPrinted>
  <dcterms:modified xsi:type="dcterms:W3CDTF">2026-01-27T02:50:10Z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2024-07-29T15:14:51Z</vt:filetime>
  </property>
  <property fmtid="{D5CDD505-2E9C-101B-9397-08002B2CF9AE}" pid="4" name="KSOProductBuildVer">
    <vt:lpwstr>2052-12.1.0.24657</vt:lpwstr>
  </property>
  <property fmtid="{D5CDD505-2E9C-101B-9397-08002B2CF9AE}" pid="5" name="ICV">
    <vt:lpwstr>5ECF13BF8B0A482DB9C83B02AE9DB8BF_13</vt:lpwstr>
  </property>
  <property fmtid="{D5CDD505-2E9C-101B-9397-08002B2CF9AE}" pid="6" name="KSOTemplateDocerSaveRecord">
    <vt:lpwstr>eyJoZGlkIjoiMzZhMTU5YjdmNTQwMTdhYzhlYTBjZjk4Y2E1OGZmODciLCJ1c2VySWQiOiI3NTQwODI4MDQifQ==</vt:lpwstr>
  </property>
</Properties>
</file>