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val="en-US" w:eastAsia="zh-CN"/>
        </w:rPr>
        <w:t>零星</w:t>
      </w: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我公司拟进行年产30万吨高性能复合材料项目二期平整场地、降水排水及地基强夯工程项目的劳务分包采零星采购进行竞争谈判采购。</w:t>
      </w:r>
    </w:p>
    <w:p w14:paraId="4CC5859C">
      <w:pPr>
        <w:pStyle w:val="13"/>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6245AE9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项目名称：</w:t>
      </w:r>
      <w:r>
        <w:rPr>
          <w:rFonts w:hint="eastAsia" w:ascii="仿宋" w:hAnsi="仿宋" w:eastAsia="仿宋" w:cs="仿宋"/>
          <w:snapToGrid/>
          <w:color w:val="auto"/>
          <w:sz w:val="28"/>
          <w:szCs w:val="28"/>
          <w:lang w:val="en-US" w:eastAsia="zh-CN"/>
        </w:rPr>
        <w:t>年产30万吨高性能复合材料项目二期平整场地、降水排水及地基强夯工程。</w:t>
      </w:r>
    </w:p>
    <w:p w14:paraId="7313EFF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劳务分包采购，具体以项目实际需求为准。</w:t>
      </w:r>
    </w:p>
    <w:p w14:paraId="73A7014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：安徽省安庆市。</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3"/>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1468BA6F">
      <w:pPr>
        <w:keepNext w:val="0"/>
        <w:keepLines w:val="0"/>
        <w:pageBreakBefore w:val="0"/>
        <w:kinsoku/>
        <w:wordWrap/>
        <w:overflowPunct/>
        <w:topLinePunct w:val="0"/>
        <w:autoSpaceDE/>
        <w:autoSpaceDN/>
        <w:bidi w:val="0"/>
        <w:adjustRightInd/>
        <w:snapToGrid w:val="0"/>
        <w:spacing w:line="480" w:lineRule="exact"/>
        <w:ind w:right="0"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.成立不少于一年具有相应经营范围的独立法人单位,有合格有效的营业执照，劳务资质、安全生产许可证、施工现场需配备专职安全员一名（持有安全员C证），并在人员、资金等方面具有相应的实力。</w:t>
      </w:r>
    </w:p>
    <w:p w14:paraId="7FAB1A1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FD2453">
      <w:pPr>
        <w:pStyle w:val="13"/>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三、报名方式</w:t>
      </w:r>
    </w:p>
    <w:p w14:paraId="4454475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凡有意参加者，请于202</w:t>
      </w:r>
      <w:r>
        <w:rPr>
          <w:rFonts w:hint="eastAsia" w:ascii="仿宋" w:hAnsi="仿宋" w:eastAsia="仿宋" w:cs="仿宋"/>
          <w:snapToGrid/>
          <w:color w:val="auto"/>
          <w:sz w:val="28"/>
          <w:szCs w:val="28"/>
          <w:lang w:val="en-US" w:eastAsia="zh-CN"/>
        </w:rPr>
        <w:t>6</w:t>
      </w:r>
      <w:r>
        <w:rPr>
          <w:rFonts w:hint="eastAsia" w:ascii="仿宋" w:hAnsi="仿宋" w:eastAsia="仿宋" w:cs="仿宋"/>
          <w:snapToGrid/>
          <w:color w:val="auto"/>
          <w:sz w:val="28"/>
          <w:szCs w:val="28"/>
          <w:lang w:eastAsia="zh-CN"/>
        </w:rPr>
        <w:t>年</w:t>
      </w:r>
      <w:r>
        <w:rPr>
          <w:rFonts w:hint="eastAsia" w:ascii="仿宋" w:hAnsi="仿宋" w:eastAsia="仿宋" w:cs="仿宋"/>
          <w:snapToGrid/>
          <w:color w:val="auto"/>
          <w:sz w:val="28"/>
          <w:szCs w:val="28"/>
          <w:lang w:val="en-US" w:eastAsia="zh-CN"/>
        </w:rPr>
        <w:t>04</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07</w:t>
      </w:r>
      <w:r>
        <w:rPr>
          <w:rFonts w:hint="eastAsia" w:ascii="仿宋" w:hAnsi="仿宋" w:eastAsia="仿宋" w:cs="仿宋"/>
          <w:snapToGrid/>
          <w:color w:val="auto"/>
          <w:sz w:val="28"/>
          <w:szCs w:val="28"/>
          <w:lang w:eastAsia="zh-CN"/>
        </w:rPr>
        <w:t>日上午10：</w:t>
      </w:r>
      <w:r>
        <w:rPr>
          <w:rFonts w:hint="eastAsia" w:ascii="仿宋" w:hAnsi="仿宋" w:eastAsia="仿宋" w:cs="仿宋"/>
          <w:snapToGrid/>
          <w:color w:val="auto"/>
          <w:sz w:val="28"/>
          <w:szCs w:val="28"/>
          <w:lang w:val="en-US" w:eastAsia="zh-CN"/>
        </w:rPr>
        <w:t>00</w:t>
      </w:r>
      <w:r>
        <w:rPr>
          <w:rFonts w:hint="eastAsia" w:ascii="仿宋" w:hAnsi="仿宋" w:eastAsia="仿宋" w:cs="仿宋"/>
          <w:snapToGrid/>
          <w:color w:val="auto"/>
          <w:sz w:val="28"/>
          <w:szCs w:val="28"/>
          <w:lang w:eastAsia="zh-CN"/>
        </w:rPr>
        <w:t>前递交（或邮寄）。</w:t>
      </w:r>
    </w:p>
    <w:p w14:paraId="6E89BFF9">
      <w:pPr>
        <w:pStyle w:val="13"/>
        <w:spacing w:line="360" w:lineRule="auto"/>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三、报价人需提供以下材料 </w:t>
      </w:r>
    </w:p>
    <w:p w14:paraId="25EE29A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、报价明细；</w:t>
      </w:r>
    </w:p>
    <w:p w14:paraId="2AFAD35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、营业执照副本、资质证书等复印件；</w:t>
      </w:r>
    </w:p>
    <w:p w14:paraId="6E5F317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注：上述材料必须加盖单位公章。</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napToGrid/>
          <w:color w:val="auto"/>
          <w:sz w:val="28"/>
          <w:szCs w:val="28"/>
          <w:lang w:val="en-US" w:eastAsia="zh-CN"/>
        </w:rPr>
        <w:t>投标报名</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常州分公司</w:t>
      </w:r>
    </w:p>
    <w:p w14:paraId="4DCE7611">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  址：江苏省</w:t>
      </w:r>
      <w:r>
        <w:rPr>
          <w:rFonts w:hint="eastAsia" w:ascii="仿宋" w:hAnsi="仿宋" w:eastAsia="仿宋" w:cs="仿宋"/>
          <w:snapToGrid/>
          <w:color w:val="auto"/>
          <w:sz w:val="28"/>
          <w:szCs w:val="28"/>
          <w:lang w:val="en-US" w:eastAsia="zh-CN"/>
        </w:rPr>
        <w:t>常州</w:t>
      </w:r>
      <w:r>
        <w:rPr>
          <w:rFonts w:hint="eastAsia" w:ascii="仿宋" w:hAnsi="仿宋" w:eastAsia="仿宋" w:cs="仿宋"/>
          <w:snapToGrid/>
          <w:color w:val="auto"/>
          <w:sz w:val="28"/>
          <w:szCs w:val="28"/>
          <w:lang w:eastAsia="zh-CN"/>
        </w:rPr>
        <w:t>市</w:t>
      </w:r>
      <w:r>
        <w:rPr>
          <w:rFonts w:hint="eastAsia" w:ascii="仿宋" w:hAnsi="仿宋" w:eastAsia="仿宋" w:cs="仿宋"/>
          <w:snapToGrid/>
          <w:color w:val="auto"/>
          <w:sz w:val="28"/>
          <w:szCs w:val="28"/>
          <w:lang w:val="en-US" w:eastAsia="zh-CN"/>
        </w:rPr>
        <w:t>和电路10号</w:t>
      </w:r>
    </w:p>
    <w:p w14:paraId="595974F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许工</w:t>
      </w:r>
      <w:r>
        <w:rPr>
          <w:rFonts w:hint="eastAsia" w:ascii="仿宋" w:hAnsi="仿宋" w:eastAsia="仿宋" w:cs="仿宋"/>
          <w:snapToGrid/>
          <w:color w:val="auto"/>
          <w:sz w:val="28"/>
          <w:szCs w:val="28"/>
          <w:lang w:eastAsia="zh-CN"/>
        </w:rPr>
        <w:t>             联系电话：</w:t>
      </w:r>
      <w:r>
        <w:rPr>
          <w:rFonts w:hint="eastAsia" w:ascii="仿宋" w:hAnsi="仿宋" w:eastAsia="仿宋" w:cs="仿宋"/>
          <w:snapToGrid/>
          <w:color w:val="auto"/>
          <w:sz w:val="28"/>
          <w:szCs w:val="28"/>
          <w:lang w:val="en-US" w:eastAsia="zh-CN"/>
        </w:rPr>
        <w:t>0519-88867998</w:t>
      </w:r>
    </w:p>
    <w:p w14:paraId="5ECE960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p>
    <w:p w14:paraId="3F741DE4">
      <w:pPr>
        <w:kinsoku/>
        <w:autoSpaceDE/>
        <w:autoSpaceDN/>
        <w:adjustRightInd/>
        <w:snapToGrid/>
        <w:spacing w:line="360" w:lineRule="auto"/>
        <w:ind w:right="12"/>
        <w:jc w:val="right"/>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65F7416E">
      <w:pPr>
        <w:pStyle w:val="2"/>
        <w:tabs>
          <w:tab w:val="left" w:pos="2708"/>
          <w:tab w:val="center" w:pos="4213"/>
        </w:tabs>
        <w:spacing w:line="360" w:lineRule="auto"/>
        <w:jc w:val="center"/>
        <w:rPr>
          <w:rFonts w:hint="eastAsia" w:ascii="仿宋" w:hAnsi="仿宋" w:eastAsia="仿宋" w:cs="仿宋"/>
          <w:b w:val="0"/>
          <w:snapToGrid/>
          <w:color w:val="FF0000"/>
          <w:sz w:val="28"/>
          <w:szCs w:val="28"/>
          <w:lang w:val="en-US" w:eastAsia="zh-CN"/>
        </w:rPr>
      </w:pPr>
      <w:r>
        <w:rPr>
          <w:rFonts w:hint="eastAsia" w:ascii="仿宋" w:hAnsi="仿宋" w:eastAsia="仿宋" w:cs="仿宋"/>
          <w:b w:val="0"/>
          <w:snapToGrid/>
          <w:sz w:val="28"/>
          <w:szCs w:val="28"/>
          <w:lang w:val="en-US" w:eastAsia="zh-CN"/>
        </w:rPr>
        <w:t xml:space="preserve">                                  </w:t>
      </w:r>
      <w:r>
        <w:rPr>
          <w:rFonts w:hint="eastAsia" w:ascii="仿宋" w:hAnsi="仿宋" w:eastAsia="仿宋" w:cs="仿宋"/>
          <w:b w:val="0"/>
          <w:snapToGrid/>
          <w:color w:val="auto"/>
          <w:sz w:val="28"/>
          <w:szCs w:val="28"/>
          <w:lang w:val="en-US" w:eastAsia="zh-CN"/>
        </w:rPr>
        <w:t xml:space="preserve">        </w:t>
      </w:r>
      <w:r>
        <w:rPr>
          <w:rFonts w:hint="eastAsia" w:ascii="仿宋" w:hAnsi="仿宋" w:eastAsia="仿宋" w:cs="仿宋"/>
          <w:b w:val="0"/>
          <w:snapToGrid/>
          <w:color w:val="auto"/>
          <w:sz w:val="28"/>
          <w:szCs w:val="28"/>
          <w:lang w:eastAsia="zh-CN"/>
        </w:rPr>
        <w:t>202</w:t>
      </w:r>
      <w:r>
        <w:rPr>
          <w:rFonts w:hint="eastAsia" w:ascii="仿宋" w:hAnsi="仿宋" w:eastAsia="仿宋" w:cs="仿宋"/>
          <w:b w:val="0"/>
          <w:snapToGrid/>
          <w:color w:val="auto"/>
          <w:sz w:val="28"/>
          <w:szCs w:val="28"/>
          <w:lang w:val="en-US" w:eastAsia="zh-CN"/>
        </w:rPr>
        <w:t>6</w:t>
      </w:r>
      <w:r>
        <w:rPr>
          <w:rFonts w:hint="eastAsia" w:ascii="仿宋" w:hAnsi="仿宋" w:eastAsia="仿宋" w:cs="仿宋"/>
          <w:b w:val="0"/>
          <w:snapToGrid/>
          <w:color w:val="auto"/>
          <w:sz w:val="28"/>
          <w:szCs w:val="28"/>
          <w:lang w:eastAsia="zh-CN"/>
        </w:rPr>
        <w:t>年</w:t>
      </w:r>
      <w:r>
        <w:rPr>
          <w:rFonts w:hint="eastAsia" w:ascii="仿宋" w:hAnsi="仿宋" w:eastAsia="仿宋" w:cs="仿宋"/>
          <w:b w:val="0"/>
          <w:snapToGrid/>
          <w:color w:val="auto"/>
          <w:sz w:val="28"/>
          <w:szCs w:val="28"/>
          <w:lang w:val="en-US" w:eastAsia="zh-CN"/>
        </w:rPr>
        <w:t>04</w:t>
      </w:r>
      <w:r>
        <w:rPr>
          <w:rFonts w:hint="eastAsia" w:ascii="仿宋" w:hAnsi="仿宋" w:eastAsia="仿宋" w:cs="仿宋"/>
          <w:b w:val="0"/>
          <w:snapToGrid/>
          <w:color w:val="auto"/>
          <w:sz w:val="28"/>
          <w:szCs w:val="28"/>
          <w:lang w:eastAsia="zh-CN"/>
        </w:rPr>
        <w:t>月</w:t>
      </w:r>
      <w:r>
        <w:rPr>
          <w:rFonts w:hint="eastAsia" w:ascii="仿宋" w:hAnsi="仿宋" w:eastAsia="仿宋" w:cs="仿宋"/>
          <w:b w:val="0"/>
          <w:snapToGrid/>
          <w:color w:val="auto"/>
          <w:sz w:val="28"/>
          <w:szCs w:val="28"/>
          <w:lang w:val="en-US" w:eastAsia="zh-CN"/>
        </w:rPr>
        <w:t>02日</w:t>
      </w:r>
    </w:p>
    <w:p w14:paraId="094FCAC4">
      <w:pPr>
        <w:rPr>
          <w:rFonts w:hint="eastAsia" w:ascii="仿宋" w:hAnsi="仿宋" w:eastAsia="仿宋" w:cs="仿宋"/>
          <w:b w:val="0"/>
          <w:snapToGrid/>
          <w:color w:val="FF0000"/>
          <w:sz w:val="28"/>
          <w:szCs w:val="28"/>
          <w:lang w:val="en-US" w:eastAsia="zh-CN"/>
        </w:rPr>
      </w:pPr>
    </w:p>
    <w:p w14:paraId="216AD373">
      <w:pPr>
        <w:rPr>
          <w:rFonts w:hint="eastAsia" w:ascii="仿宋" w:hAnsi="仿宋" w:eastAsia="仿宋" w:cs="仿宋"/>
          <w:b w:val="0"/>
          <w:snapToGrid/>
          <w:color w:val="FF0000"/>
          <w:sz w:val="28"/>
          <w:szCs w:val="28"/>
          <w:lang w:val="en-US" w:eastAsia="zh-CN"/>
        </w:rPr>
      </w:pPr>
    </w:p>
    <w:p w14:paraId="0E405F0D">
      <w:pPr>
        <w:rPr>
          <w:rFonts w:hint="eastAsia" w:ascii="仿宋" w:hAnsi="仿宋" w:eastAsia="仿宋" w:cs="仿宋"/>
          <w:b w:val="0"/>
          <w:snapToGrid/>
          <w:color w:val="FF0000"/>
          <w:sz w:val="28"/>
          <w:szCs w:val="28"/>
          <w:lang w:val="en-US" w:eastAsia="zh-CN"/>
        </w:rPr>
      </w:pPr>
    </w:p>
    <w:p w14:paraId="7C5A666B">
      <w:pPr>
        <w:rPr>
          <w:rFonts w:hint="eastAsia" w:ascii="仿宋" w:hAnsi="仿宋" w:eastAsia="仿宋" w:cs="仿宋"/>
          <w:b w:val="0"/>
          <w:snapToGrid/>
          <w:color w:val="FF0000"/>
          <w:sz w:val="28"/>
          <w:szCs w:val="28"/>
          <w:lang w:val="en-US" w:eastAsia="zh-CN"/>
        </w:rPr>
      </w:pPr>
    </w:p>
    <w:p w14:paraId="1E349083">
      <w:pPr>
        <w:rPr>
          <w:rFonts w:hint="eastAsia" w:ascii="仿宋" w:hAnsi="仿宋" w:eastAsia="仿宋" w:cs="仿宋"/>
          <w:b w:val="0"/>
          <w:snapToGrid/>
          <w:color w:val="FF0000"/>
          <w:sz w:val="28"/>
          <w:szCs w:val="28"/>
          <w:lang w:val="en-US" w:eastAsia="zh-CN"/>
        </w:rPr>
      </w:pPr>
    </w:p>
    <w:p w14:paraId="65746043">
      <w:pPr>
        <w:rPr>
          <w:rFonts w:hint="eastAsia" w:ascii="仿宋" w:hAnsi="仿宋" w:eastAsia="仿宋" w:cs="仿宋"/>
          <w:b w:val="0"/>
          <w:snapToGrid/>
          <w:color w:val="FF0000"/>
          <w:sz w:val="28"/>
          <w:szCs w:val="28"/>
          <w:lang w:val="en-US" w:eastAsia="zh-CN"/>
        </w:rPr>
      </w:pPr>
    </w:p>
    <w:p w14:paraId="64324EBD">
      <w:pPr>
        <w:rPr>
          <w:rFonts w:hint="eastAsia" w:ascii="仿宋" w:hAnsi="仿宋" w:eastAsia="仿宋" w:cs="仿宋"/>
          <w:b w:val="0"/>
          <w:snapToGrid/>
          <w:color w:val="FF0000"/>
          <w:sz w:val="28"/>
          <w:szCs w:val="28"/>
          <w:lang w:val="en-US" w:eastAsia="zh-CN"/>
        </w:rPr>
      </w:pPr>
    </w:p>
    <w:p w14:paraId="39603108">
      <w:pPr>
        <w:rPr>
          <w:rFonts w:hint="eastAsia" w:ascii="仿宋" w:hAnsi="仿宋" w:eastAsia="仿宋" w:cs="仿宋"/>
          <w:b w:val="0"/>
          <w:snapToGrid/>
          <w:color w:val="FF0000"/>
          <w:sz w:val="28"/>
          <w:szCs w:val="28"/>
          <w:lang w:val="en-US" w:eastAsia="zh-CN"/>
        </w:rPr>
      </w:pPr>
    </w:p>
    <w:p w14:paraId="09862871">
      <w:pPr>
        <w:rPr>
          <w:rFonts w:hint="eastAsia" w:ascii="仿宋" w:hAnsi="仿宋" w:eastAsia="仿宋" w:cs="仿宋"/>
          <w:b w:val="0"/>
          <w:snapToGrid/>
          <w:color w:val="FF0000"/>
          <w:sz w:val="28"/>
          <w:szCs w:val="28"/>
          <w:lang w:val="en-US" w:eastAsia="zh-CN"/>
        </w:rPr>
      </w:pPr>
    </w:p>
    <w:p w14:paraId="41EB63CD">
      <w:pPr>
        <w:rPr>
          <w:rFonts w:hint="eastAsia" w:ascii="仿宋" w:hAnsi="仿宋" w:eastAsia="仿宋" w:cs="仿宋"/>
          <w:b w:val="0"/>
          <w:snapToGrid/>
          <w:color w:val="FF0000"/>
          <w:sz w:val="28"/>
          <w:szCs w:val="28"/>
          <w:lang w:val="en-US" w:eastAsia="zh-CN"/>
        </w:rPr>
      </w:pPr>
    </w:p>
    <w:p w14:paraId="3DB9678F">
      <w:pPr>
        <w:rPr>
          <w:rFonts w:hint="eastAsia" w:ascii="仿宋" w:hAnsi="仿宋" w:eastAsia="仿宋" w:cs="仿宋"/>
          <w:b w:val="0"/>
          <w:snapToGrid/>
          <w:color w:val="FF0000"/>
          <w:sz w:val="28"/>
          <w:szCs w:val="28"/>
          <w:lang w:val="en-US" w:eastAsia="zh-CN"/>
        </w:rPr>
      </w:pPr>
    </w:p>
    <w:p w14:paraId="475CA711">
      <w:pPr>
        <w:rPr>
          <w:rFonts w:hint="eastAsia" w:ascii="仿宋" w:hAnsi="仿宋" w:eastAsia="仿宋" w:cs="仿宋"/>
          <w:b w:val="0"/>
          <w:snapToGrid/>
          <w:color w:val="FF0000"/>
          <w:sz w:val="28"/>
          <w:szCs w:val="28"/>
          <w:lang w:val="en-US" w:eastAsia="zh-CN"/>
        </w:rPr>
      </w:pPr>
    </w:p>
    <w:p w14:paraId="243485B5">
      <w:pPr>
        <w:rPr>
          <w:rFonts w:hint="eastAsia" w:ascii="仿宋" w:hAnsi="仿宋" w:eastAsia="仿宋" w:cs="仿宋"/>
          <w:b w:val="0"/>
          <w:snapToGrid/>
          <w:color w:val="FF0000"/>
          <w:sz w:val="28"/>
          <w:szCs w:val="28"/>
          <w:lang w:val="en-US" w:eastAsia="zh-CN"/>
        </w:rPr>
      </w:pPr>
    </w:p>
    <w:p w14:paraId="47C52072">
      <w:pPr>
        <w:rPr>
          <w:rFonts w:hint="eastAsia" w:ascii="仿宋" w:hAnsi="仿宋" w:eastAsia="仿宋" w:cs="仿宋"/>
          <w:b w:val="0"/>
          <w:snapToGrid/>
          <w:color w:val="FF0000"/>
          <w:sz w:val="28"/>
          <w:szCs w:val="28"/>
          <w:lang w:val="en-US" w:eastAsia="zh-CN"/>
        </w:rPr>
      </w:pPr>
    </w:p>
    <w:p w14:paraId="1D69B888">
      <w:pPr>
        <w:rPr>
          <w:rFonts w:hint="eastAsia" w:ascii="仿宋" w:hAnsi="仿宋" w:eastAsia="仿宋" w:cs="仿宋"/>
          <w:b w:val="0"/>
          <w:snapToGrid/>
          <w:color w:val="FF0000"/>
          <w:sz w:val="28"/>
          <w:szCs w:val="28"/>
          <w:lang w:val="en-US" w:eastAsia="zh-CN"/>
        </w:rPr>
      </w:pPr>
    </w:p>
    <w:p w14:paraId="5F9B6557">
      <w:pPr>
        <w:rPr>
          <w:rFonts w:hint="eastAsia" w:ascii="仿宋" w:hAnsi="仿宋" w:eastAsia="仿宋" w:cs="仿宋"/>
          <w:b w:val="0"/>
          <w:snapToGrid/>
          <w:color w:val="FF0000"/>
          <w:sz w:val="28"/>
          <w:szCs w:val="28"/>
          <w:lang w:val="en-US" w:eastAsia="zh-CN"/>
        </w:rPr>
      </w:pPr>
    </w:p>
    <w:p w14:paraId="216AE7B3">
      <w:pPr>
        <w:rPr>
          <w:rFonts w:hint="eastAsia" w:ascii="仿宋" w:hAnsi="仿宋" w:eastAsia="仿宋" w:cs="仿宋"/>
          <w:b w:val="0"/>
          <w:snapToGrid/>
          <w:color w:val="FF0000"/>
          <w:sz w:val="28"/>
          <w:szCs w:val="28"/>
          <w:lang w:val="en-US" w:eastAsia="zh-CN"/>
        </w:rPr>
      </w:pPr>
    </w:p>
    <w:p w14:paraId="73CACE35">
      <w:pPr>
        <w:pStyle w:val="3"/>
        <w:tabs>
          <w:tab w:val="left" w:pos="3149"/>
        </w:tabs>
        <w:overflowPunct w:val="0"/>
        <w:spacing w:line="360" w:lineRule="auto"/>
        <w:ind w:right="68"/>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 xml:space="preserve">年产30万吨高性能复合材料项目二期平整场地、降水排水及地基强夯工程劳务分包采购报价单 </w:t>
      </w:r>
    </w:p>
    <w:tbl>
      <w:tblPr>
        <w:tblStyle w:val="10"/>
        <w:tblpPr w:leftFromText="180" w:rightFromText="180" w:vertAnchor="text" w:tblpXSpec="center" w:tblpY="1"/>
        <w:tblOverlap w:val="never"/>
        <w:tblW w:w="10195" w:type="dxa"/>
        <w:tblInd w:w="-3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034"/>
        <w:gridCol w:w="720"/>
        <w:gridCol w:w="1260"/>
        <w:gridCol w:w="1665"/>
        <w:gridCol w:w="1905"/>
        <w:gridCol w:w="1111"/>
      </w:tblGrid>
      <w:tr w14:paraId="3F4D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 w:type="dxa"/>
            <w:vMerge w:val="restart"/>
            <w:vAlign w:val="center"/>
          </w:tcPr>
          <w:p w14:paraId="2DA96ED2">
            <w:pPr>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034" w:type="dxa"/>
            <w:vMerge w:val="restart"/>
            <w:shd w:val="clear" w:color="auto" w:fill="auto"/>
            <w:vAlign w:val="center"/>
          </w:tcPr>
          <w:p w14:paraId="42ABB9EA">
            <w:pPr>
              <w:widowControl/>
              <w:jc w:val="center"/>
              <w:rPr>
                <w:rFonts w:hint="default" w:ascii="仿宋" w:hAnsi="仿宋" w:eastAsia="仿宋" w:cs="仿宋"/>
                <w:snapToGrid w:val="0"/>
                <w:color w:val="auto"/>
                <w:kern w:val="0"/>
                <w:sz w:val="21"/>
                <w:szCs w:val="21"/>
                <w:lang w:val="en-US" w:eastAsia="zh-CN" w:bidi="ar-SA"/>
              </w:rPr>
            </w:pPr>
            <w:r>
              <w:rPr>
                <w:rFonts w:hint="eastAsia" w:ascii="仿宋" w:hAnsi="仿宋" w:eastAsia="仿宋" w:cs="仿宋"/>
                <w:color w:val="auto"/>
                <w:kern w:val="0"/>
                <w:sz w:val="21"/>
                <w:szCs w:val="21"/>
                <w:lang w:val="en-US" w:eastAsia="zh-CN"/>
              </w:rPr>
              <w:t>项目名称</w:t>
            </w:r>
          </w:p>
        </w:tc>
        <w:tc>
          <w:tcPr>
            <w:tcW w:w="720" w:type="dxa"/>
            <w:vMerge w:val="restart"/>
            <w:vAlign w:val="center"/>
          </w:tcPr>
          <w:p w14:paraId="770BDBE1">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单位</w:t>
            </w:r>
          </w:p>
        </w:tc>
        <w:tc>
          <w:tcPr>
            <w:tcW w:w="1260" w:type="dxa"/>
            <w:vMerge w:val="restart"/>
            <w:vAlign w:val="center"/>
          </w:tcPr>
          <w:p w14:paraId="7AE2E0D5">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暂定</w:t>
            </w:r>
          </w:p>
          <w:p w14:paraId="42D5E5B1">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工程量</w:t>
            </w:r>
          </w:p>
        </w:tc>
        <w:tc>
          <w:tcPr>
            <w:tcW w:w="3570" w:type="dxa"/>
            <w:gridSpan w:val="2"/>
            <w:tcBorders>
              <w:bottom w:val="single" w:color="auto" w:sz="6" w:space="0"/>
            </w:tcBorders>
            <w:vAlign w:val="center"/>
          </w:tcPr>
          <w:p w14:paraId="52BA142A">
            <w:pPr>
              <w:snapToGrid w:val="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含税租赁费用（元）</w:t>
            </w:r>
          </w:p>
        </w:tc>
        <w:tc>
          <w:tcPr>
            <w:tcW w:w="1111" w:type="dxa"/>
            <w:vMerge w:val="restart"/>
            <w:vAlign w:val="center"/>
          </w:tcPr>
          <w:p w14:paraId="7EB32F7B">
            <w:pPr>
              <w:snapToGrid w:val="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备注</w:t>
            </w:r>
          </w:p>
        </w:tc>
      </w:tr>
      <w:tr w14:paraId="7016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0" w:type="dxa"/>
            <w:vMerge w:val="continue"/>
            <w:vAlign w:val="center"/>
          </w:tcPr>
          <w:p w14:paraId="31ECB048">
            <w:pPr>
              <w:snapToGrid w:val="0"/>
              <w:jc w:val="center"/>
              <w:rPr>
                <w:rFonts w:hint="eastAsia" w:ascii="仿宋" w:hAnsi="仿宋" w:eastAsia="仿宋" w:cs="仿宋"/>
                <w:color w:val="auto"/>
                <w:sz w:val="21"/>
                <w:szCs w:val="21"/>
              </w:rPr>
            </w:pPr>
          </w:p>
        </w:tc>
        <w:tc>
          <w:tcPr>
            <w:tcW w:w="3034" w:type="dxa"/>
            <w:vMerge w:val="continue"/>
            <w:vAlign w:val="center"/>
          </w:tcPr>
          <w:p w14:paraId="2541AAED">
            <w:pPr>
              <w:widowControl/>
              <w:jc w:val="center"/>
              <w:rPr>
                <w:rFonts w:hint="eastAsia" w:ascii="仿宋" w:hAnsi="仿宋" w:eastAsia="仿宋" w:cs="仿宋"/>
                <w:color w:val="auto"/>
                <w:kern w:val="0"/>
                <w:sz w:val="21"/>
                <w:szCs w:val="21"/>
              </w:rPr>
            </w:pPr>
          </w:p>
        </w:tc>
        <w:tc>
          <w:tcPr>
            <w:tcW w:w="720" w:type="dxa"/>
            <w:vMerge w:val="continue"/>
            <w:vAlign w:val="center"/>
          </w:tcPr>
          <w:p w14:paraId="6C80EDD7">
            <w:pPr>
              <w:snapToGrid w:val="0"/>
              <w:jc w:val="center"/>
              <w:rPr>
                <w:rFonts w:hint="eastAsia" w:ascii="仿宋" w:hAnsi="仿宋" w:eastAsia="仿宋" w:cs="仿宋"/>
                <w:color w:val="auto"/>
                <w:sz w:val="21"/>
                <w:szCs w:val="21"/>
              </w:rPr>
            </w:pPr>
          </w:p>
        </w:tc>
        <w:tc>
          <w:tcPr>
            <w:tcW w:w="1260" w:type="dxa"/>
            <w:vMerge w:val="continue"/>
            <w:vAlign w:val="center"/>
          </w:tcPr>
          <w:p w14:paraId="052F092C">
            <w:pPr>
              <w:snapToGrid w:val="0"/>
              <w:jc w:val="center"/>
              <w:rPr>
                <w:rFonts w:hint="eastAsia" w:ascii="仿宋" w:hAnsi="仿宋" w:eastAsia="仿宋" w:cs="仿宋"/>
                <w:color w:val="auto"/>
                <w:sz w:val="21"/>
                <w:szCs w:val="21"/>
              </w:rPr>
            </w:pPr>
          </w:p>
        </w:tc>
        <w:tc>
          <w:tcPr>
            <w:tcW w:w="1665" w:type="dxa"/>
            <w:tcBorders>
              <w:top w:val="single" w:color="auto" w:sz="6" w:space="0"/>
            </w:tcBorders>
            <w:vAlign w:val="center"/>
          </w:tcPr>
          <w:p w14:paraId="1161D68C">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全费用</w:t>
            </w:r>
          </w:p>
          <w:p w14:paraId="2EF836BA">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综合单价</w:t>
            </w:r>
          </w:p>
        </w:tc>
        <w:tc>
          <w:tcPr>
            <w:tcW w:w="1905" w:type="dxa"/>
            <w:tcBorders>
              <w:top w:val="single" w:color="auto" w:sz="6" w:space="0"/>
            </w:tcBorders>
            <w:vAlign w:val="center"/>
          </w:tcPr>
          <w:p w14:paraId="4C80A2C7">
            <w:pPr>
              <w:snapToGrid w:val="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合价</w:t>
            </w:r>
          </w:p>
        </w:tc>
        <w:tc>
          <w:tcPr>
            <w:tcW w:w="1111" w:type="dxa"/>
            <w:vMerge w:val="continue"/>
            <w:vAlign w:val="center"/>
          </w:tcPr>
          <w:p w14:paraId="1A8E536B">
            <w:pPr>
              <w:snapToGrid w:val="0"/>
              <w:jc w:val="center"/>
              <w:rPr>
                <w:rFonts w:hint="eastAsia" w:ascii="仿宋" w:hAnsi="仿宋" w:eastAsia="仿宋" w:cs="仿宋"/>
                <w:color w:val="auto"/>
                <w:kern w:val="0"/>
                <w:sz w:val="21"/>
                <w:szCs w:val="21"/>
              </w:rPr>
            </w:pPr>
          </w:p>
        </w:tc>
      </w:tr>
      <w:tr w14:paraId="2916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500" w:type="dxa"/>
            <w:vAlign w:val="center"/>
          </w:tcPr>
          <w:p w14:paraId="29F70257">
            <w:pPr>
              <w:snapToGrid w:val="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3034" w:type="dxa"/>
            <w:shd w:val="clear" w:color="auto" w:fill="auto"/>
            <w:vAlign w:val="center"/>
          </w:tcPr>
          <w:p w14:paraId="453D73D1">
            <w:pPr>
              <w:widowControl/>
              <w:jc w:val="center"/>
              <w:rPr>
                <w:rFonts w:hint="eastAsia" w:ascii="仿宋" w:hAnsi="仿宋" w:eastAsia="仿宋" w:cs="仿宋"/>
                <w:snapToGrid w:val="0"/>
                <w:color w:val="auto"/>
                <w:sz w:val="21"/>
                <w:szCs w:val="21"/>
                <w:lang w:val="en-US" w:eastAsia="en-US" w:bidi="ar-SA"/>
              </w:rPr>
            </w:pPr>
            <w:r>
              <w:rPr>
                <w:rFonts w:hint="eastAsia" w:ascii="仿宋" w:hAnsi="仿宋" w:eastAsia="仿宋" w:cs="仿宋"/>
                <w:color w:val="auto"/>
                <w:sz w:val="21"/>
                <w:szCs w:val="21"/>
                <w:lang w:val="en-US" w:eastAsia="zh-CN"/>
              </w:rPr>
              <w:t>平整场地、清理杂草及杂草处置劳务</w:t>
            </w:r>
          </w:p>
        </w:tc>
        <w:tc>
          <w:tcPr>
            <w:tcW w:w="720" w:type="dxa"/>
            <w:vAlign w:val="center"/>
          </w:tcPr>
          <w:p w14:paraId="2999570F">
            <w:pPr>
              <w:widowControl/>
              <w:jc w:val="center"/>
              <w:rPr>
                <w:rFonts w:hint="eastAsia" w:ascii="仿宋" w:hAnsi="仿宋" w:eastAsia="仿宋" w:cs="仿宋"/>
                <w:color w:val="auto"/>
                <w:sz w:val="21"/>
                <w:szCs w:val="21"/>
              </w:rPr>
            </w:pPr>
            <w:r>
              <w:rPr>
                <w:rFonts w:hint="eastAsia" w:ascii="仿宋" w:hAnsi="仿宋" w:eastAsia="仿宋" w:cs="仿宋"/>
                <w:color w:val="auto"/>
                <w:sz w:val="21"/>
                <w:szCs w:val="21"/>
              </w:rPr>
              <w:t>M2</w:t>
            </w:r>
          </w:p>
        </w:tc>
        <w:tc>
          <w:tcPr>
            <w:tcW w:w="1260" w:type="dxa"/>
            <w:vAlign w:val="center"/>
          </w:tcPr>
          <w:p w14:paraId="4D53BCD3">
            <w:pPr>
              <w:widowControl/>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47718.62 </w:t>
            </w:r>
          </w:p>
        </w:tc>
        <w:tc>
          <w:tcPr>
            <w:tcW w:w="1665" w:type="dxa"/>
            <w:vAlign w:val="center"/>
          </w:tcPr>
          <w:p w14:paraId="416693D1">
            <w:pPr>
              <w:snapToGrid w:val="0"/>
              <w:jc w:val="right"/>
              <w:rPr>
                <w:rFonts w:hint="eastAsia" w:ascii="仿宋" w:hAnsi="仿宋" w:eastAsia="仿宋" w:cs="仿宋"/>
                <w:color w:val="auto"/>
                <w:sz w:val="21"/>
                <w:szCs w:val="21"/>
              </w:rPr>
            </w:pPr>
          </w:p>
        </w:tc>
        <w:tc>
          <w:tcPr>
            <w:tcW w:w="1905" w:type="dxa"/>
            <w:vAlign w:val="center"/>
          </w:tcPr>
          <w:p w14:paraId="724BB959">
            <w:pPr>
              <w:snapToGrid w:val="0"/>
              <w:jc w:val="center"/>
              <w:rPr>
                <w:rFonts w:hint="eastAsia" w:ascii="仿宋" w:hAnsi="仿宋" w:eastAsia="仿宋" w:cs="仿宋"/>
                <w:color w:val="auto"/>
                <w:sz w:val="21"/>
                <w:szCs w:val="21"/>
              </w:rPr>
            </w:pPr>
          </w:p>
        </w:tc>
        <w:tc>
          <w:tcPr>
            <w:tcW w:w="1111" w:type="dxa"/>
            <w:vAlign w:val="center"/>
          </w:tcPr>
          <w:p w14:paraId="0651B139">
            <w:pPr>
              <w:widowControl/>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不含车间3，仓库两个单体</w:t>
            </w:r>
          </w:p>
        </w:tc>
      </w:tr>
      <w:tr w14:paraId="4634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00" w:type="dxa"/>
            <w:vAlign w:val="center"/>
          </w:tcPr>
          <w:p w14:paraId="43A402DB">
            <w:pPr>
              <w:snapToGrid w:val="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3034" w:type="dxa"/>
            <w:shd w:val="clear" w:color="auto" w:fill="auto"/>
            <w:vAlign w:val="center"/>
          </w:tcPr>
          <w:p w14:paraId="5A97FD6C">
            <w:pPr>
              <w:widowControl/>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整个强夯施工期间排水降水劳务，满足强夯施工要求</w:t>
            </w:r>
          </w:p>
        </w:tc>
        <w:tc>
          <w:tcPr>
            <w:tcW w:w="720" w:type="dxa"/>
            <w:vAlign w:val="center"/>
          </w:tcPr>
          <w:p w14:paraId="7C097F72">
            <w:pPr>
              <w:widowControl/>
              <w:jc w:val="center"/>
              <w:rPr>
                <w:rFonts w:hint="eastAsia" w:ascii="仿宋" w:hAnsi="仿宋" w:eastAsia="仿宋" w:cs="仿宋"/>
                <w:color w:val="auto"/>
                <w:sz w:val="21"/>
                <w:szCs w:val="21"/>
              </w:rPr>
            </w:pPr>
            <w:r>
              <w:rPr>
                <w:rFonts w:hint="eastAsia" w:ascii="仿宋" w:hAnsi="仿宋" w:eastAsia="仿宋" w:cs="仿宋"/>
                <w:color w:val="auto"/>
                <w:sz w:val="21"/>
                <w:szCs w:val="21"/>
              </w:rPr>
              <w:t>M2</w:t>
            </w:r>
          </w:p>
        </w:tc>
        <w:tc>
          <w:tcPr>
            <w:tcW w:w="1260" w:type="dxa"/>
            <w:vAlign w:val="center"/>
          </w:tcPr>
          <w:p w14:paraId="7D986F99">
            <w:pPr>
              <w:widowControl/>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74919.57 </w:t>
            </w:r>
          </w:p>
        </w:tc>
        <w:tc>
          <w:tcPr>
            <w:tcW w:w="1665" w:type="dxa"/>
            <w:vAlign w:val="center"/>
          </w:tcPr>
          <w:p w14:paraId="2F17B756">
            <w:pPr>
              <w:snapToGrid w:val="0"/>
              <w:jc w:val="right"/>
              <w:rPr>
                <w:rFonts w:hint="eastAsia" w:ascii="仿宋" w:hAnsi="仿宋" w:eastAsia="仿宋" w:cs="仿宋"/>
                <w:color w:val="auto"/>
                <w:sz w:val="21"/>
                <w:szCs w:val="21"/>
              </w:rPr>
            </w:pPr>
          </w:p>
        </w:tc>
        <w:tc>
          <w:tcPr>
            <w:tcW w:w="1905" w:type="dxa"/>
            <w:vAlign w:val="center"/>
          </w:tcPr>
          <w:p w14:paraId="11D3A399">
            <w:pPr>
              <w:snapToGrid w:val="0"/>
              <w:jc w:val="center"/>
              <w:rPr>
                <w:rFonts w:hint="eastAsia" w:ascii="仿宋" w:hAnsi="仿宋" w:eastAsia="仿宋" w:cs="仿宋"/>
                <w:color w:val="auto"/>
                <w:sz w:val="21"/>
                <w:szCs w:val="21"/>
              </w:rPr>
            </w:pPr>
          </w:p>
        </w:tc>
        <w:tc>
          <w:tcPr>
            <w:tcW w:w="1111" w:type="dxa"/>
            <w:vAlign w:val="center"/>
          </w:tcPr>
          <w:p w14:paraId="1E74F38C">
            <w:pPr>
              <w:widowControl/>
              <w:jc w:val="center"/>
              <w:rPr>
                <w:rFonts w:hint="eastAsia" w:ascii="仿宋" w:hAnsi="仿宋" w:eastAsia="仿宋" w:cs="仿宋"/>
                <w:color w:val="auto"/>
                <w:sz w:val="21"/>
                <w:szCs w:val="21"/>
                <w:lang w:val="en-US" w:eastAsia="zh-CN"/>
              </w:rPr>
            </w:pPr>
          </w:p>
        </w:tc>
      </w:tr>
      <w:tr w14:paraId="75FC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00" w:type="dxa"/>
            <w:vAlign w:val="center"/>
          </w:tcPr>
          <w:p w14:paraId="655F5041">
            <w:pPr>
              <w:snapToGrid w:val="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3034" w:type="dxa"/>
            <w:shd w:val="clear" w:color="auto" w:fill="auto"/>
            <w:vAlign w:val="center"/>
          </w:tcPr>
          <w:p w14:paraId="43208DF8">
            <w:pPr>
              <w:widowControl/>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二期地块内高区土方内倒劳务，满足二期场地平整要求</w:t>
            </w:r>
          </w:p>
        </w:tc>
        <w:tc>
          <w:tcPr>
            <w:tcW w:w="720" w:type="dxa"/>
            <w:vAlign w:val="center"/>
          </w:tcPr>
          <w:p w14:paraId="4BBEEC70">
            <w:pPr>
              <w:widowControl/>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rPr>
              <w:t>M</w:t>
            </w:r>
            <w:r>
              <w:rPr>
                <w:rFonts w:hint="eastAsia" w:ascii="仿宋" w:hAnsi="仿宋" w:eastAsia="仿宋" w:cs="仿宋"/>
                <w:color w:val="auto"/>
                <w:sz w:val="21"/>
                <w:szCs w:val="21"/>
                <w:lang w:val="en-US" w:eastAsia="zh-CN"/>
              </w:rPr>
              <w:t>3</w:t>
            </w:r>
          </w:p>
        </w:tc>
        <w:tc>
          <w:tcPr>
            <w:tcW w:w="1260" w:type="dxa"/>
            <w:vAlign w:val="center"/>
          </w:tcPr>
          <w:p w14:paraId="039EADA2">
            <w:pPr>
              <w:widowControl/>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10400.00 </w:t>
            </w:r>
          </w:p>
        </w:tc>
        <w:tc>
          <w:tcPr>
            <w:tcW w:w="1665" w:type="dxa"/>
            <w:vAlign w:val="center"/>
          </w:tcPr>
          <w:p w14:paraId="5FE510B5">
            <w:pPr>
              <w:snapToGrid w:val="0"/>
              <w:jc w:val="right"/>
              <w:rPr>
                <w:rFonts w:hint="eastAsia" w:ascii="仿宋" w:hAnsi="仿宋" w:eastAsia="仿宋" w:cs="仿宋"/>
                <w:color w:val="auto"/>
                <w:sz w:val="21"/>
                <w:szCs w:val="21"/>
              </w:rPr>
            </w:pPr>
          </w:p>
        </w:tc>
        <w:tc>
          <w:tcPr>
            <w:tcW w:w="1905" w:type="dxa"/>
            <w:vAlign w:val="center"/>
          </w:tcPr>
          <w:p w14:paraId="0E91E09F">
            <w:pPr>
              <w:snapToGrid w:val="0"/>
              <w:jc w:val="center"/>
              <w:rPr>
                <w:rFonts w:hint="eastAsia" w:ascii="仿宋" w:hAnsi="仿宋" w:eastAsia="仿宋" w:cs="仿宋"/>
                <w:color w:val="auto"/>
                <w:sz w:val="21"/>
                <w:szCs w:val="21"/>
              </w:rPr>
            </w:pPr>
          </w:p>
        </w:tc>
        <w:tc>
          <w:tcPr>
            <w:tcW w:w="1111" w:type="dxa"/>
            <w:vAlign w:val="center"/>
          </w:tcPr>
          <w:p w14:paraId="53B14ACA">
            <w:pPr>
              <w:widowControl/>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不含车间3，仓库两个单体</w:t>
            </w:r>
          </w:p>
        </w:tc>
      </w:tr>
      <w:tr w14:paraId="4EEF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00" w:type="dxa"/>
            <w:vAlign w:val="center"/>
          </w:tcPr>
          <w:p w14:paraId="32A0035A">
            <w:pPr>
              <w:snapToGrid w:val="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3754" w:type="dxa"/>
            <w:gridSpan w:val="2"/>
            <w:shd w:val="clear" w:color="auto" w:fill="auto"/>
            <w:vAlign w:val="center"/>
          </w:tcPr>
          <w:p w14:paraId="31B5B3B8">
            <w:pPr>
              <w:widowControl/>
              <w:jc w:val="center"/>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合计</w:t>
            </w:r>
          </w:p>
        </w:tc>
        <w:tc>
          <w:tcPr>
            <w:tcW w:w="1260" w:type="dxa"/>
            <w:vAlign w:val="center"/>
          </w:tcPr>
          <w:p w14:paraId="61B6FA46">
            <w:pPr>
              <w:widowControl/>
              <w:jc w:val="center"/>
              <w:rPr>
                <w:rFonts w:hint="eastAsia" w:ascii="仿宋" w:hAnsi="仿宋" w:eastAsia="仿宋" w:cs="仿宋"/>
                <w:color w:val="auto"/>
                <w:sz w:val="21"/>
                <w:szCs w:val="21"/>
              </w:rPr>
            </w:pPr>
          </w:p>
        </w:tc>
        <w:tc>
          <w:tcPr>
            <w:tcW w:w="1665" w:type="dxa"/>
            <w:vAlign w:val="center"/>
          </w:tcPr>
          <w:p w14:paraId="22F5D353">
            <w:pPr>
              <w:snapToGrid w:val="0"/>
              <w:jc w:val="right"/>
              <w:rPr>
                <w:rFonts w:hint="eastAsia" w:ascii="仿宋" w:hAnsi="仿宋" w:eastAsia="仿宋" w:cs="仿宋"/>
                <w:color w:val="auto"/>
                <w:sz w:val="21"/>
                <w:szCs w:val="21"/>
              </w:rPr>
            </w:pPr>
          </w:p>
        </w:tc>
        <w:tc>
          <w:tcPr>
            <w:tcW w:w="1905" w:type="dxa"/>
            <w:vAlign w:val="center"/>
          </w:tcPr>
          <w:p w14:paraId="1A3A6200">
            <w:pPr>
              <w:snapToGrid w:val="0"/>
              <w:jc w:val="center"/>
              <w:rPr>
                <w:rFonts w:hint="eastAsia" w:ascii="仿宋" w:hAnsi="仿宋" w:eastAsia="仿宋" w:cs="仿宋"/>
                <w:color w:val="auto"/>
                <w:sz w:val="21"/>
                <w:szCs w:val="21"/>
              </w:rPr>
            </w:pPr>
          </w:p>
        </w:tc>
        <w:tc>
          <w:tcPr>
            <w:tcW w:w="1111" w:type="dxa"/>
            <w:vAlign w:val="center"/>
          </w:tcPr>
          <w:p w14:paraId="150A4E1B">
            <w:pPr>
              <w:snapToGrid w:val="0"/>
              <w:jc w:val="center"/>
              <w:rPr>
                <w:rFonts w:hint="eastAsia" w:ascii="仿宋" w:hAnsi="仿宋" w:eastAsia="仿宋" w:cs="仿宋"/>
                <w:color w:val="auto"/>
                <w:sz w:val="21"/>
                <w:szCs w:val="21"/>
              </w:rPr>
            </w:pPr>
          </w:p>
        </w:tc>
      </w:tr>
    </w:tbl>
    <w:p w14:paraId="24457B45">
      <w:pPr>
        <w:tabs>
          <w:tab w:val="left" w:pos="1440"/>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注：1.1.以上报价是否含税：是</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sym w:font="Wingdings" w:char="00A8"/>
      </w:r>
      <w:r>
        <w:rPr>
          <w:rFonts w:hint="eastAsia" w:ascii="仿宋" w:hAnsi="仿宋" w:eastAsia="仿宋" w:cs="仿宋"/>
          <w:b/>
          <w:bCs/>
          <w:color w:val="auto"/>
          <w:sz w:val="24"/>
          <w:szCs w:val="24"/>
        </w:rPr>
        <w:t>（税率：</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 否</w:t>
      </w:r>
      <w:r>
        <w:rPr>
          <w:rFonts w:hint="eastAsia" w:ascii="仿宋" w:hAnsi="仿宋" w:eastAsia="仿宋" w:cs="仿宋"/>
          <w:b/>
          <w:bCs/>
          <w:color w:val="auto"/>
          <w:sz w:val="24"/>
          <w:szCs w:val="24"/>
        </w:rPr>
        <w:sym w:font="Wingdings" w:char="F0A8"/>
      </w:r>
    </w:p>
    <w:p w14:paraId="56454558">
      <w:pPr>
        <w:numPr>
          <w:ilvl w:val="0"/>
          <w:numId w:val="0"/>
        </w:numPr>
        <w:tabs>
          <w:tab w:val="left" w:pos="144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以上材料报价有效期为</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天。</w:t>
      </w:r>
    </w:p>
    <w:p w14:paraId="21F1CD51">
      <w:pPr>
        <w:tabs>
          <w:tab w:val="left" w:pos="1440"/>
        </w:tabs>
        <w:spacing w:line="360" w:lineRule="auto"/>
        <w:rPr>
          <w:rFonts w:hint="eastAsia" w:ascii="仿宋" w:hAnsi="仿宋" w:eastAsia="仿宋" w:cs="仿宋"/>
          <w:b/>
          <w:bCs/>
          <w:sz w:val="24"/>
        </w:rPr>
      </w:pPr>
      <w:r>
        <w:rPr>
          <w:rFonts w:hint="eastAsia" w:ascii="仿宋" w:hAnsi="仿宋" w:eastAsia="仿宋" w:cs="仿宋"/>
          <w:b/>
          <w:bCs/>
          <w:sz w:val="24"/>
        </w:rPr>
        <w:t>付款方式：</w:t>
      </w:r>
    </w:p>
    <w:p w14:paraId="64C9EB8C">
      <w:pPr>
        <w:numPr>
          <w:ilvl w:val="0"/>
          <w:numId w:val="0"/>
        </w:numPr>
        <w:tabs>
          <w:tab w:val="left" w:pos="1440"/>
        </w:tabs>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合同签订后15个工作日内且人员进场，支付合同总价的10% 作为预付款，以</w:t>
      </w:r>
      <w:bookmarkStart w:id="0" w:name="_GoBack"/>
      <w:bookmarkEnd w:id="0"/>
      <w:r>
        <w:rPr>
          <w:rFonts w:hint="eastAsia" w:ascii="仿宋" w:hAnsi="仿宋" w:eastAsia="仿宋" w:cs="仿宋"/>
          <w:b/>
          <w:bCs/>
          <w:color w:val="auto"/>
          <w:sz w:val="24"/>
          <w:szCs w:val="24"/>
        </w:rPr>
        <w:t>承兑方式支付；平整场地、场内土方平衡工作完成后15个工作日内支付合同总价的30% 作为进度款，以承兑方式支付；工程完工进度达100%，对完工质量进行检测，测试结果合格，支付合同总价的40%作为完工款，以承兑方式支付；完成结算手续后30个工作日内，甲方支付至结算价的95%；合同金额5%的余款做为质量保证金，自验收合格后1年，甲方在保修期满之日起7个工作日内付清，以承兑方式支付</w:t>
      </w:r>
      <w:r>
        <w:rPr>
          <w:rFonts w:hint="eastAsia" w:ascii="仿宋" w:hAnsi="仿宋" w:eastAsia="仿宋" w:cs="仿宋"/>
          <w:b/>
          <w:bCs/>
          <w:color w:val="auto"/>
          <w:sz w:val="24"/>
          <w:szCs w:val="24"/>
          <w:lang w:eastAsia="zh-CN"/>
        </w:rPr>
        <w:t>。</w:t>
      </w:r>
    </w:p>
    <w:p w14:paraId="42C4BE73">
      <w:pPr>
        <w:numPr>
          <w:ilvl w:val="0"/>
          <w:numId w:val="0"/>
        </w:numPr>
        <w:tabs>
          <w:tab w:val="left" w:pos="1440"/>
        </w:tabs>
        <w:spacing w:line="360" w:lineRule="auto"/>
        <w:ind w:firstLine="482" w:firstLineChars="200"/>
        <w:rPr>
          <w:rFonts w:hint="eastAsia" w:ascii="仿宋" w:hAnsi="仿宋" w:eastAsia="仿宋" w:cs="仿宋"/>
          <w:b/>
          <w:bCs/>
          <w:color w:val="auto"/>
          <w:sz w:val="24"/>
          <w:szCs w:val="24"/>
          <w:lang w:eastAsia="zh-CN"/>
        </w:rPr>
      </w:pPr>
    </w:p>
    <w:p w14:paraId="3668FA4D">
      <w:pPr>
        <w:tabs>
          <w:tab w:val="left" w:pos="3360"/>
        </w:tabs>
        <w:spacing w:line="336"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报价人（单位盖章）：        </w:t>
      </w:r>
    </w:p>
    <w:p w14:paraId="67CE12E1">
      <w:pPr>
        <w:tabs>
          <w:tab w:val="left" w:pos="336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代表：            </w:t>
      </w:r>
    </w:p>
    <w:p w14:paraId="45D9DCA6">
      <w:pPr>
        <w:tabs>
          <w:tab w:val="left" w:pos="3360"/>
        </w:tabs>
        <w:spacing w:line="360" w:lineRule="auto"/>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联系电话：</w:t>
      </w:r>
    </w:p>
    <w:p w14:paraId="7B140F0C">
      <w:pPr>
        <w:tabs>
          <w:tab w:val="left" w:pos="336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报价日期：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日</w:t>
      </w:r>
    </w:p>
    <w:p w14:paraId="1DE5D32D">
      <w:pPr>
        <w:spacing w:line="400" w:lineRule="exact"/>
        <w:rPr>
          <w:rFonts w:hint="eastAsia" w:ascii="仿宋" w:hAnsi="仿宋" w:eastAsia="仿宋" w:cs="仿宋"/>
          <w:b/>
          <w:bCs/>
          <w:sz w:val="36"/>
        </w:rPr>
      </w:pPr>
    </w:p>
    <w:p w14:paraId="12364EEC">
      <w:pPr>
        <w:tabs>
          <w:tab w:val="left" w:pos="3360"/>
        </w:tabs>
        <w:spacing w:line="360" w:lineRule="auto"/>
        <w:rPr>
          <w:rFonts w:hint="eastAsia" w:ascii="仿宋" w:hAnsi="仿宋" w:eastAsia="仿宋" w:cs="仿宋"/>
          <w:sz w:val="28"/>
          <w:szCs w:val="28"/>
          <w:lang w:val="en-US" w:eastAsia="zh-CN"/>
        </w:rPr>
      </w:pPr>
    </w:p>
    <w:p w14:paraId="42D60ECC">
      <w:pPr>
        <w:pStyle w:val="3"/>
        <w:tabs>
          <w:tab w:val="left" w:pos="3149"/>
        </w:tabs>
        <w:overflowPunct w:val="0"/>
        <w:spacing w:line="360" w:lineRule="auto"/>
        <w:ind w:right="68"/>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资格证明文件</w:t>
      </w:r>
    </w:p>
    <w:p w14:paraId="7CCFEBC6">
      <w:pPr>
        <w:keepNext w:val="0"/>
        <w:keepLines w:val="0"/>
        <w:pageBreakBefore w:val="0"/>
        <w:wordWrap/>
        <w:overflowPunct/>
        <w:topLinePunct w:val="0"/>
        <w:bidi w:val="0"/>
        <w:snapToGrid w:val="0"/>
        <w:spacing w:line="480" w:lineRule="auto"/>
        <w:rPr>
          <w:rFonts w:hint="eastAsia" w:ascii="仿宋" w:hAnsi="仿宋" w:eastAsia="仿宋" w:cs="仿宋"/>
          <w:sz w:val="30"/>
          <w:szCs w:val="30"/>
        </w:rPr>
      </w:pPr>
      <w:r>
        <w:rPr>
          <w:rFonts w:hint="eastAsia" w:ascii="仿宋" w:hAnsi="仿宋" w:eastAsia="仿宋" w:cs="仿宋"/>
          <w:sz w:val="30"/>
          <w:szCs w:val="30"/>
        </w:rPr>
        <w:t>（响应人需提供</w:t>
      </w:r>
      <w:r>
        <w:rPr>
          <w:rFonts w:hint="eastAsia" w:ascii="仿宋" w:hAnsi="仿宋" w:eastAsia="仿宋" w:cs="仿宋"/>
          <w:sz w:val="30"/>
          <w:szCs w:val="30"/>
          <w:lang w:val="en-US" w:eastAsia="zh-CN"/>
        </w:rPr>
        <w:t>合格有效的营业执照，劳务资质、安全生产许可证、施工现场需配备专职安全员一名（持有安全员C证）</w:t>
      </w:r>
      <w:r>
        <w:rPr>
          <w:rFonts w:hint="eastAsia" w:ascii="仿宋" w:hAnsi="仿宋" w:eastAsia="仿宋" w:cs="仿宋"/>
          <w:sz w:val="30"/>
          <w:szCs w:val="30"/>
        </w:rPr>
        <w:t>）</w:t>
      </w:r>
    </w:p>
    <w:p w14:paraId="2A4F1C01">
      <w:pPr>
        <w:tabs>
          <w:tab w:val="left" w:pos="3360"/>
        </w:tabs>
        <w:spacing w:line="360" w:lineRule="auto"/>
        <w:rPr>
          <w:rFonts w:hint="eastAsia" w:ascii="仿宋" w:hAnsi="仿宋" w:eastAsia="仿宋" w:cs="仿宋"/>
          <w:sz w:val="28"/>
          <w:szCs w:val="28"/>
          <w:lang w:val="en-US" w:eastAsia="zh-CN"/>
        </w:rPr>
      </w:pPr>
    </w:p>
    <w:sectPr>
      <w:pgSz w:w="11906" w:h="16838"/>
      <w:pgMar w:top="1440" w:right="1757"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TYzMzYzYjlkMTAyYWY3ZDE3MWI2MmM5OTc4ZDkifQ=="/>
  </w:docVars>
  <w:rsids>
    <w:rsidRoot w:val="00000000"/>
    <w:rsid w:val="01626010"/>
    <w:rsid w:val="031A7430"/>
    <w:rsid w:val="07A377EB"/>
    <w:rsid w:val="0CF602B9"/>
    <w:rsid w:val="100617B6"/>
    <w:rsid w:val="11870CA2"/>
    <w:rsid w:val="125F1C01"/>
    <w:rsid w:val="1461798B"/>
    <w:rsid w:val="14A32FFE"/>
    <w:rsid w:val="15786D25"/>
    <w:rsid w:val="18796475"/>
    <w:rsid w:val="19173966"/>
    <w:rsid w:val="1A3E3A1B"/>
    <w:rsid w:val="1A746641"/>
    <w:rsid w:val="1C66663D"/>
    <w:rsid w:val="1DC27B0B"/>
    <w:rsid w:val="1F270051"/>
    <w:rsid w:val="22B66E75"/>
    <w:rsid w:val="230D38A4"/>
    <w:rsid w:val="240C2AF1"/>
    <w:rsid w:val="24A71FA1"/>
    <w:rsid w:val="25ED1ACA"/>
    <w:rsid w:val="286C4BA3"/>
    <w:rsid w:val="287C4027"/>
    <w:rsid w:val="2A0B0AA8"/>
    <w:rsid w:val="2C5A200C"/>
    <w:rsid w:val="2E03179C"/>
    <w:rsid w:val="2E1E1344"/>
    <w:rsid w:val="308B66FA"/>
    <w:rsid w:val="30A2108F"/>
    <w:rsid w:val="362749AA"/>
    <w:rsid w:val="37745015"/>
    <w:rsid w:val="3C2B0662"/>
    <w:rsid w:val="3CF47A8D"/>
    <w:rsid w:val="3E540D13"/>
    <w:rsid w:val="400E3D5F"/>
    <w:rsid w:val="4B9418C4"/>
    <w:rsid w:val="4C5444F8"/>
    <w:rsid w:val="4CBC4AB4"/>
    <w:rsid w:val="4E4F4875"/>
    <w:rsid w:val="4EB94EBB"/>
    <w:rsid w:val="4F6E1E10"/>
    <w:rsid w:val="52F06A35"/>
    <w:rsid w:val="56754367"/>
    <w:rsid w:val="5AAD2F76"/>
    <w:rsid w:val="5C6E6AF1"/>
    <w:rsid w:val="5CE17DCE"/>
    <w:rsid w:val="5D365157"/>
    <w:rsid w:val="60EE2410"/>
    <w:rsid w:val="610A1F17"/>
    <w:rsid w:val="6625452E"/>
    <w:rsid w:val="6850795B"/>
    <w:rsid w:val="688651C2"/>
    <w:rsid w:val="6910479D"/>
    <w:rsid w:val="69E301DD"/>
    <w:rsid w:val="6B120E2B"/>
    <w:rsid w:val="6D1327AF"/>
    <w:rsid w:val="70FF5915"/>
    <w:rsid w:val="729E4018"/>
    <w:rsid w:val="740E1F54"/>
    <w:rsid w:val="799D05BD"/>
    <w:rsid w:val="7A0F7765"/>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spacing w:after="120" w:line="480" w:lineRule="auto"/>
      <w:ind w:left="420" w:firstLine="539"/>
    </w:pPr>
    <w:rPr>
      <w:rFonts w:ascii="Times New Roman" w:hAnsi="Times New Roman"/>
      <w:sz w:val="28"/>
    </w:rPr>
  </w:style>
  <w:style w:type="paragraph" w:styleId="5">
    <w:name w:val="toc 2"/>
    <w:basedOn w:val="1"/>
    <w:next w:val="1"/>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8">
    <w:name w:val="Body Text First Indent"/>
    <w:basedOn w:val="3"/>
    <w:unhideWhenUsed/>
    <w:qFormat/>
    <w:uiPriority w:val="99"/>
    <w:pPr>
      <w:ind w:firstLine="420" w:firstLineChars="100"/>
    </w:pPr>
    <w:rPr>
      <w:rFonts w:ascii="Calibri" w:hAnsi="Calibri" w:eastAsia="宋体" w:cs="Times New Roman"/>
      <w:szCs w:val="2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paragraph" w:customStyle="1" w:styleId="15">
    <w:name w:val="标4"/>
    <w:basedOn w:val="16"/>
    <w:next w:val="1"/>
    <w:qFormat/>
    <w:uiPriority w:val="99"/>
    <w:pPr>
      <w:ind w:firstLine="560"/>
      <w:jc w:val="left"/>
      <w:outlineLvl w:val="3"/>
    </w:pPr>
  </w:style>
  <w:style w:type="paragraph" w:customStyle="1" w:styleId="16">
    <w:name w:val="标3"/>
    <w:basedOn w:val="17"/>
    <w:next w:val="1"/>
    <w:qFormat/>
    <w:uiPriority w:val="99"/>
    <w:pPr>
      <w:outlineLvl w:val="2"/>
    </w:pPr>
    <w:rPr>
      <w:rFonts w:ascii="宋体" w:hAnsi="宋体"/>
    </w:rPr>
  </w:style>
  <w:style w:type="paragraph" w:customStyle="1" w:styleId="17">
    <w:name w:val="标2"/>
    <w:basedOn w:val="18"/>
    <w:qFormat/>
    <w:uiPriority w:val="99"/>
    <w:pPr>
      <w:keepNext/>
      <w:keepLines/>
      <w:spacing w:beforeLines="0"/>
      <w:outlineLvl w:val="1"/>
    </w:pPr>
    <w:rPr>
      <w:rFonts w:ascii="黑体" w:hAnsi="黑体" w:cs="宋体"/>
      <w:b w:val="0"/>
      <w:sz w:val="28"/>
      <w:szCs w:val="20"/>
    </w:rPr>
  </w:style>
  <w:style w:type="paragraph" w:customStyle="1" w:styleId="18">
    <w:name w:val="标1"/>
    <w:basedOn w:val="7"/>
    <w:qFormat/>
    <w:uiPriority w:val="99"/>
    <w:pPr>
      <w:adjustRightInd w:val="0"/>
      <w:spacing w:beforeLines="50" w:afterLines="50"/>
    </w:pPr>
    <w:rPr>
      <w:kern w:val="24"/>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1111</Characters>
  <Lines>0</Lines>
  <Paragraphs>0</Paragraphs>
  <TotalTime>60</TotalTime>
  <ScaleCrop>false</ScaleCrop>
  <LinksUpToDate>false</LinksUpToDate>
  <CharactersWithSpaces>1211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Setlla</cp:lastModifiedBy>
  <dcterms:modified xsi:type="dcterms:W3CDTF">2026-04-02T01:51:09Z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57DAF971CF404A63BF91ADE1DE60243F_13</vt:lpwstr>
  </property>
  <property fmtid="{D5CDD505-2E9C-101B-9397-08002B2CF9AE}" pid="4" name="KSOTemplateDocerSaveRecord">
    <vt:lpwstr>eyJoZGlkIjoiYjBmNTZmZDdmODk2NGVhNDFkYjk3MzhmNmI2NmM2MDIiLCJ1c2VySWQiOiIyNzI3ODQ3MTEifQ==</vt:lpwstr>
  </property>
</Properties>
</file>