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415D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lang w:eastAsia="zh-CN"/>
        </w:rPr>
      </w:pPr>
    </w:p>
    <w:p w14:paraId="71A8015E">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lang w:eastAsia="zh-CN"/>
        </w:rPr>
      </w:pPr>
    </w:p>
    <w:p w14:paraId="295D423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lang w:eastAsia="zh-CN"/>
        </w:rPr>
      </w:pPr>
      <w:r>
        <w:rPr>
          <w:rFonts w:hint="eastAsia" w:ascii="仿宋" w:hAnsi="仿宋" w:eastAsia="仿宋" w:cs="仿宋"/>
          <w:b/>
          <w:bCs/>
          <w:sz w:val="48"/>
          <w:szCs w:val="48"/>
          <w:lang w:val="en-US" w:eastAsia="zh-CN"/>
        </w:rPr>
        <w:t>南京地铁宁扬线土建工程DS5-TA02标机</w:t>
      </w:r>
      <w:r>
        <w:rPr>
          <w:rFonts w:hint="eastAsia" w:ascii="仿宋" w:hAnsi="仿宋" w:eastAsia="仿宋" w:cs="仿宋"/>
          <w:b/>
          <w:bCs/>
          <w:sz w:val="48"/>
          <w:szCs w:val="48"/>
          <w:u w:val="none"/>
          <w:lang w:val="en-US" w:eastAsia="zh-CN"/>
        </w:rPr>
        <w:t>械成孔灌注桩及加固工程</w:t>
      </w:r>
      <w:r>
        <w:rPr>
          <w:rFonts w:hint="eastAsia" w:ascii="仿宋" w:hAnsi="仿宋" w:eastAsia="仿宋" w:cs="仿宋"/>
          <w:b/>
          <w:bCs/>
          <w:snapToGrid/>
          <w:color w:val="333333"/>
          <w:sz w:val="48"/>
          <w:szCs w:val="48"/>
          <w:highlight w:val="none"/>
          <w:u w:val="none"/>
          <w:lang w:val="en-US" w:eastAsia="zh-CN"/>
        </w:rPr>
        <w:t>旋挖机设备租赁</w:t>
      </w:r>
      <w:r>
        <w:rPr>
          <w:rFonts w:hint="eastAsia" w:ascii="仿宋" w:hAnsi="仿宋" w:eastAsia="仿宋" w:cs="仿宋"/>
          <w:b/>
          <w:bCs/>
          <w:sz w:val="48"/>
          <w:szCs w:val="48"/>
          <w:u w:val="none"/>
          <w:lang w:eastAsia="zh-CN"/>
        </w:rPr>
        <w:t xml:space="preserve"> </w:t>
      </w:r>
      <w:r>
        <w:rPr>
          <w:rFonts w:hint="eastAsia" w:ascii="仿宋" w:hAnsi="仿宋" w:eastAsia="仿宋" w:cs="仿宋"/>
          <w:b/>
          <w:bCs/>
          <w:snapToGrid/>
          <w:color w:val="333333"/>
          <w:sz w:val="48"/>
          <w:szCs w:val="48"/>
          <w:highlight w:val="none"/>
          <w:u w:val="none"/>
          <w:lang w:val="en-US" w:eastAsia="zh-CN"/>
        </w:rPr>
        <w:t>采购询比采购文件</w:t>
      </w:r>
      <w:r>
        <w:rPr>
          <w:rFonts w:hint="eastAsia" w:ascii="仿宋" w:hAnsi="仿宋" w:eastAsia="仿宋" w:cs="仿宋"/>
          <w:b/>
          <w:bCs/>
          <w:sz w:val="48"/>
          <w:szCs w:val="48"/>
          <w:u w:val="none"/>
          <w:lang w:eastAsia="zh-CN"/>
        </w:rPr>
        <w:t xml:space="preserve"> </w:t>
      </w:r>
    </w:p>
    <w:p w14:paraId="5535A316">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lang w:eastAsia="zh-CN"/>
        </w:rPr>
      </w:pPr>
    </w:p>
    <w:p w14:paraId="40916260">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lang w:eastAsia="zh-CN"/>
        </w:rPr>
      </w:pPr>
    </w:p>
    <w:p w14:paraId="2568D458">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lang w:eastAsia="zh-CN"/>
        </w:rPr>
      </w:pPr>
    </w:p>
    <w:p w14:paraId="286D2041">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lang w:eastAsia="zh-CN"/>
        </w:rPr>
      </w:pPr>
    </w:p>
    <w:p w14:paraId="3B4E0ACF">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lang w:eastAsia="zh-CN"/>
        </w:rPr>
      </w:pPr>
    </w:p>
    <w:p w14:paraId="064C33FB">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lang w:eastAsia="zh-CN"/>
        </w:rPr>
      </w:pPr>
    </w:p>
    <w:p w14:paraId="10BA5F7A">
      <w:pPr>
        <w:rPr>
          <w:rFonts w:hint="eastAsia" w:ascii="仿宋" w:hAnsi="仿宋" w:eastAsia="仿宋" w:cs="仿宋"/>
          <w:sz w:val="36"/>
          <w:szCs w:val="36"/>
        </w:rPr>
      </w:pPr>
    </w:p>
    <w:p w14:paraId="21309911">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eastAsia="zh-CN"/>
        </w:rPr>
        <w:t>采购</w:t>
      </w:r>
      <w:r>
        <w:rPr>
          <w:rFonts w:hint="eastAsia" w:ascii="仿宋" w:hAnsi="仿宋" w:eastAsia="仿宋" w:cs="仿宋"/>
          <w:b/>
          <w:bCs/>
          <w:sz w:val="36"/>
          <w:szCs w:val="36"/>
        </w:rPr>
        <w:t>编号：</w:t>
      </w:r>
      <w:r>
        <w:rPr>
          <w:rFonts w:hint="eastAsia" w:ascii="仿宋" w:hAnsi="仿宋" w:eastAsia="仿宋" w:cs="仿宋"/>
          <w:b/>
          <w:bCs/>
          <w:sz w:val="36"/>
          <w:szCs w:val="36"/>
          <w:lang w:val="en-US" w:eastAsia="zh-CN"/>
        </w:rPr>
        <w:t>ZMCJ00CG20257006</w:t>
      </w:r>
    </w:p>
    <w:p w14:paraId="1F388BD5">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36"/>
          <w:szCs w:val="36"/>
          <w:lang w:eastAsia="zh-CN"/>
        </w:rPr>
      </w:pPr>
    </w:p>
    <w:p w14:paraId="59060DDE">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36"/>
          <w:szCs w:val="36"/>
          <w:lang w:eastAsia="zh-CN"/>
        </w:rPr>
      </w:pPr>
    </w:p>
    <w:p w14:paraId="474FF8D5">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36"/>
          <w:szCs w:val="36"/>
          <w:lang w:eastAsia="zh-CN"/>
        </w:rPr>
      </w:pPr>
    </w:p>
    <w:p w14:paraId="29996D11">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36"/>
          <w:szCs w:val="36"/>
          <w:lang w:eastAsia="zh-CN"/>
        </w:rPr>
      </w:pPr>
    </w:p>
    <w:p w14:paraId="74A3C848">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36"/>
          <w:szCs w:val="36"/>
          <w:lang w:eastAsia="zh-CN"/>
        </w:rPr>
      </w:pPr>
    </w:p>
    <w:p w14:paraId="7ACED0A6">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36"/>
          <w:szCs w:val="36"/>
          <w:lang w:eastAsia="zh-CN"/>
        </w:rPr>
      </w:pPr>
    </w:p>
    <w:p w14:paraId="6FAB48B1">
      <w:pPr>
        <w:widowControl w:val="0"/>
        <w:kinsoku/>
        <w:autoSpaceDE/>
        <w:autoSpaceDN/>
        <w:adjustRightInd/>
        <w:snapToGrid/>
        <w:spacing w:line="360" w:lineRule="auto"/>
        <w:jc w:val="center"/>
        <w:textAlignment w:val="auto"/>
        <w:rPr>
          <w:rFonts w:hint="eastAsia" w:ascii="仿宋" w:hAnsi="仿宋" w:eastAsia="仿宋" w:cs="仿宋"/>
          <w:b/>
          <w:bCs/>
          <w:sz w:val="36"/>
          <w:szCs w:val="36"/>
          <w:lang w:val="en-US" w:eastAsia="zh-CN"/>
        </w:rPr>
      </w:pPr>
    </w:p>
    <w:p w14:paraId="53DE0CAE">
      <w:pPr>
        <w:widowControl w:val="0"/>
        <w:kinsoku/>
        <w:autoSpaceDE/>
        <w:autoSpaceDN/>
        <w:adjustRightInd/>
        <w:snapToGrid/>
        <w:spacing w:line="360" w:lineRule="auto"/>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采购人：中煤长江基础建设有限公司</w:t>
      </w:r>
    </w:p>
    <w:p w14:paraId="4A6658C0">
      <w:pPr>
        <w:widowControl w:val="0"/>
        <w:kinsoku/>
        <w:autoSpaceDE/>
        <w:autoSpaceDN/>
        <w:adjustRightInd/>
        <w:snapToGrid/>
        <w:spacing w:line="360" w:lineRule="auto"/>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二〇二五年一月</w:t>
      </w:r>
    </w:p>
    <w:p w14:paraId="0E77ECA5">
      <w:pPr>
        <w:widowControl w:val="0"/>
        <w:kinsoku/>
        <w:autoSpaceDE/>
        <w:autoSpaceDN/>
        <w:adjustRightInd/>
        <w:snapToGrid/>
        <w:spacing w:line="360" w:lineRule="auto"/>
        <w:jc w:val="center"/>
        <w:textAlignment w:val="auto"/>
        <w:rPr>
          <w:rFonts w:hint="eastAsia" w:ascii="仿宋" w:hAnsi="仿宋" w:eastAsia="仿宋" w:cs="仿宋"/>
          <w:b/>
          <w:bCs/>
          <w:sz w:val="48"/>
          <w:szCs w:val="48"/>
          <w:lang w:val="en-US" w:eastAsia="zh-CN"/>
        </w:rPr>
      </w:pPr>
    </w:p>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3492F0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w:t>
      </w:r>
      <w:r>
        <w:rPr>
          <w:rFonts w:hint="eastAsia" w:ascii="仿宋" w:hAnsi="仿宋" w:eastAsia="仿宋" w:cs="仿宋"/>
          <w:snapToGrid/>
          <w:color w:val="auto"/>
          <w:sz w:val="28"/>
          <w:szCs w:val="28"/>
          <w:lang w:val="en-US" w:eastAsia="zh-CN"/>
        </w:rPr>
        <w:t>南京地铁宁扬线土建工程DS5-TA02标机械成孔灌注桩及加固工程</w:t>
      </w:r>
      <w:r>
        <w:rPr>
          <w:rFonts w:hint="eastAsia" w:ascii="仿宋" w:hAnsi="仿宋" w:eastAsia="仿宋" w:cs="仿宋"/>
          <w:snapToGrid/>
          <w:color w:val="auto"/>
          <w:sz w:val="28"/>
          <w:szCs w:val="28"/>
          <w:lang w:eastAsia="zh-CN"/>
        </w:rPr>
        <w:t>项目</w:t>
      </w:r>
      <w:r>
        <w:rPr>
          <w:rFonts w:hint="eastAsia" w:ascii="仿宋" w:hAnsi="仿宋" w:eastAsia="仿宋" w:cs="仿宋"/>
          <w:snapToGrid/>
          <w:color w:val="auto"/>
          <w:sz w:val="28"/>
          <w:szCs w:val="28"/>
          <w:lang w:val="en-US" w:eastAsia="zh-CN"/>
        </w:rPr>
        <w:t>旋挖机设备租赁公开询比</w:t>
      </w:r>
      <w:r>
        <w:rPr>
          <w:rFonts w:hint="eastAsia" w:ascii="仿宋" w:hAnsi="仿宋" w:eastAsia="仿宋" w:cs="仿宋"/>
          <w:snapToGrid/>
          <w:color w:val="auto"/>
          <w:sz w:val="28"/>
          <w:szCs w:val="28"/>
          <w:lang w:eastAsia="zh-CN"/>
        </w:rPr>
        <w:t>采购。</w:t>
      </w:r>
    </w:p>
    <w:p w14:paraId="51DCB29D">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采购编号：</w:t>
      </w:r>
      <w:r>
        <w:rPr>
          <w:rFonts w:hint="eastAsia" w:ascii="仿宋" w:hAnsi="仿宋" w:eastAsia="仿宋" w:cs="仿宋"/>
          <w:snapToGrid/>
          <w:color w:val="auto"/>
          <w:sz w:val="28"/>
          <w:szCs w:val="28"/>
          <w:lang w:val="en-US" w:eastAsia="zh-CN"/>
        </w:rPr>
        <w:t>ZMCJ00CG20257006</w:t>
      </w:r>
    </w:p>
    <w:p w14:paraId="4CC5859C">
      <w:pPr>
        <w:pStyle w:val="19"/>
        <w:spacing w:line="360" w:lineRule="auto"/>
        <w:jc w:val="both"/>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579D8B67">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项目名称：</w:t>
      </w:r>
      <w:r>
        <w:rPr>
          <w:rFonts w:hint="eastAsia" w:ascii="仿宋" w:hAnsi="仿宋" w:eastAsia="仿宋" w:cs="仿宋"/>
          <w:snapToGrid/>
          <w:color w:val="auto"/>
          <w:sz w:val="28"/>
          <w:szCs w:val="28"/>
          <w:lang w:val="en-US" w:eastAsia="zh-CN"/>
        </w:rPr>
        <w:t>南京地铁宁扬线土建工程DS5-TA02标机械成孔灌注桩及加固工程。</w:t>
      </w:r>
    </w:p>
    <w:p w14:paraId="05B856D3">
      <w:pPr>
        <w:kinsoku/>
        <w:autoSpaceDE/>
        <w:autoSpaceDN/>
        <w:adjustRightInd/>
        <w:snapToGrid/>
        <w:spacing w:line="360" w:lineRule="auto"/>
        <w:ind w:right="11" w:firstLine="560" w:firstLineChars="200"/>
        <w:textAlignment w:val="auto"/>
        <w:rPr>
          <w:rFonts w:hint="eastAsia"/>
          <w:lang w:val="en-US" w:eastAsia="zh-CN"/>
        </w:rPr>
      </w:pPr>
      <w:r>
        <w:rPr>
          <w:rFonts w:hint="eastAsia" w:ascii="仿宋" w:hAnsi="仿宋" w:eastAsia="仿宋" w:cs="仿宋"/>
          <w:snapToGrid/>
          <w:color w:val="auto"/>
          <w:sz w:val="28"/>
          <w:szCs w:val="28"/>
          <w:lang w:val="en-US" w:eastAsia="zh-CN"/>
        </w:rPr>
        <w:t>2、</w:t>
      </w: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：江苏省南京市。</w:t>
      </w:r>
    </w:p>
    <w:p w14:paraId="753A73AA">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rPr>
        <w:t>采购需求：</w:t>
      </w:r>
      <w:r>
        <w:rPr>
          <w:rFonts w:hint="eastAsia" w:ascii="仿宋" w:hAnsi="仿宋" w:eastAsia="仿宋" w:cs="仿宋"/>
          <w:snapToGrid/>
          <w:color w:val="auto"/>
          <w:sz w:val="28"/>
          <w:szCs w:val="28"/>
          <w:lang w:val="en-US" w:eastAsia="zh-CN"/>
        </w:rPr>
        <w:t>旋挖设备租赁-设备数量：200及以上3台、租赁时长：7个月（旋挖施工配套的挖机、吊车、钻杆、钻头等需满足现场施工需要）</w:t>
      </w:r>
    </w:p>
    <w:p w14:paraId="19B6BC3C">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4、</w:t>
      </w:r>
      <w:r>
        <w:rPr>
          <w:rFonts w:hint="eastAsia" w:ascii="仿宋" w:hAnsi="仿宋" w:eastAsia="仿宋" w:cs="仿宋"/>
          <w:snapToGrid/>
          <w:color w:val="auto"/>
          <w:sz w:val="28"/>
          <w:szCs w:val="28"/>
          <w:lang w:eastAsia="zh-CN"/>
        </w:rPr>
        <w:t>评审办法：</w:t>
      </w:r>
      <w:r>
        <w:rPr>
          <w:rFonts w:hint="eastAsia" w:ascii="仿宋" w:hAnsi="仿宋" w:eastAsia="仿宋" w:cs="仿宋"/>
          <w:snapToGrid/>
          <w:color w:val="auto"/>
          <w:sz w:val="28"/>
          <w:szCs w:val="28"/>
          <w:lang w:val="en-US" w:eastAsia="zh-CN"/>
        </w:rPr>
        <w:t>满足项目采购需求情况下合理低价中标。</w:t>
      </w:r>
    </w:p>
    <w:p w14:paraId="78D5402F">
      <w:pPr>
        <w:pStyle w:val="15"/>
        <w:rPr>
          <w:rFonts w:hint="eastAsia" w:ascii="仿宋" w:hAnsi="仿宋" w:eastAsia="仿宋" w:cs="仿宋"/>
          <w:snapToGrid/>
          <w:color w:val="auto"/>
          <w:sz w:val="28"/>
          <w:szCs w:val="28"/>
          <w:highlight w:val="none"/>
          <w:lang w:val="en-US" w:eastAsia="zh-CN"/>
        </w:rPr>
      </w:pPr>
      <w:r>
        <w:rPr>
          <w:rFonts w:hint="eastAsia" w:ascii="仿宋" w:hAnsi="仿宋" w:eastAsia="仿宋" w:cs="仿宋"/>
          <w:snapToGrid/>
          <w:color w:val="auto"/>
          <w:sz w:val="28"/>
          <w:szCs w:val="28"/>
          <w:highlight w:val="none"/>
          <w:lang w:val="en-US" w:eastAsia="zh-CN"/>
        </w:rPr>
        <w:t>5、项目性质：设备租赁</w:t>
      </w:r>
    </w:p>
    <w:p w14:paraId="54005969">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6、最高限价：714.00万元</w:t>
      </w:r>
    </w:p>
    <w:p w14:paraId="2C3B294A">
      <w:pPr>
        <w:pStyle w:val="15"/>
        <w:rPr>
          <w:rFonts w:hint="default"/>
          <w:highlight w:val="none"/>
          <w:lang w:val="en-US" w:eastAsia="zh-CN"/>
        </w:rPr>
      </w:pPr>
      <w:r>
        <w:rPr>
          <w:rFonts w:hint="eastAsia" w:ascii="仿宋" w:hAnsi="仿宋" w:eastAsia="仿宋" w:cs="仿宋"/>
          <w:snapToGrid/>
          <w:color w:val="auto"/>
          <w:sz w:val="28"/>
          <w:szCs w:val="28"/>
          <w:highlight w:val="none"/>
          <w:lang w:val="en-US" w:eastAsia="zh-CN"/>
        </w:rPr>
        <w:t>7、计划工期：472天</w:t>
      </w:r>
    </w:p>
    <w:p w14:paraId="2656C473">
      <w:pPr>
        <w:pStyle w:val="19"/>
        <w:spacing w:line="360" w:lineRule="auto"/>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二、响应人资格要求</w:t>
      </w:r>
    </w:p>
    <w:p w14:paraId="24B7D864">
      <w:pPr>
        <w:pageBreakBefore w:val="0"/>
        <w:widowControl/>
        <w:numPr>
          <w:ilvl w:val="0"/>
          <w:numId w:val="0"/>
        </w:numPr>
        <w:kinsoku/>
        <w:wordWrap/>
        <w:overflowPunct/>
        <w:topLinePunct w:val="0"/>
        <w:autoSpaceDE/>
        <w:autoSpaceDN/>
        <w:bidi w:val="0"/>
        <w:adjustRightInd/>
        <w:snapToGrid/>
        <w:spacing w:line="560" w:lineRule="exact"/>
        <w:ind w:right="0" w:rightChars="0"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参与</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企业必须是具有相应经营范围的独立法人单位，有合格有效的营业执照，</w:t>
      </w:r>
      <w:r>
        <w:rPr>
          <w:rFonts w:hint="eastAsia" w:ascii="仿宋" w:hAnsi="仿宋" w:eastAsia="仿宋" w:cs="仿宋"/>
          <w:snapToGrid/>
          <w:color w:val="auto"/>
          <w:sz w:val="28"/>
          <w:szCs w:val="28"/>
          <w:highlight w:val="none"/>
          <w:lang w:val="en-US" w:eastAsia="zh-CN"/>
        </w:rPr>
        <w:t>自有设备证明，</w:t>
      </w:r>
      <w:r>
        <w:rPr>
          <w:rFonts w:hint="eastAsia" w:ascii="仿宋" w:hAnsi="仿宋" w:eastAsia="仿宋" w:cs="仿宋"/>
          <w:snapToGrid/>
          <w:color w:val="auto"/>
          <w:sz w:val="28"/>
          <w:szCs w:val="28"/>
          <w:lang w:eastAsia="zh-CN"/>
        </w:rPr>
        <w:t>设备成色良好，特种人员持证、具备租赁资格、并在人员、资金等方面具有相应的实力。</w:t>
      </w:r>
    </w:p>
    <w:p w14:paraId="3625E65E">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w:t>
      </w:r>
      <w:r>
        <w:rPr>
          <w:rFonts w:hint="eastAsia" w:ascii="仿宋" w:hAnsi="仿宋" w:eastAsia="仿宋" w:cs="仿宋"/>
          <w:snapToGrid/>
          <w:color w:val="auto"/>
          <w:sz w:val="28"/>
          <w:szCs w:val="28"/>
          <w:lang w:eastAsia="zh-CN"/>
        </w:rPr>
        <w:t>未处于被责令停业、响应资格被取消或者财产被接管、冻结和破产状态；</w:t>
      </w:r>
    </w:p>
    <w:p w14:paraId="6572AA08">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lang w:eastAsia="zh-CN"/>
        </w:rPr>
        <w:t>企业没有因骗取中标或者严重违约以及发生重大工程质量、安全生产事故等违法违规问题，被有关部门暂停响应资格并在暂停期内的；</w:t>
      </w:r>
    </w:p>
    <w:p w14:paraId="0073B81A">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4.信誉要求：响应人在近三年内（2021年01月01日至响应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14:paraId="39158A59">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5.响应人不得与采购人存在利益关系，包括但不限于采购人领导和关键岗位人员持有响应人股权、在响应人中任职、存在亲属关系等。</w:t>
      </w:r>
    </w:p>
    <w:p w14:paraId="4158677F">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6.具有投资参股关系的关联企业，或具有直接管理或被管理关系的母子公司， 或同一母公司的子公司，或法定代表人为同一人的两个及两个以上法人不得同时参与响应。</w:t>
      </w:r>
    </w:p>
    <w:p w14:paraId="3B738D12">
      <w:pPr>
        <w:pageBreakBefore w:val="0"/>
        <w:widowControl/>
        <w:kinsoku/>
        <w:wordWrap/>
        <w:overflowPunct/>
        <w:topLinePunct w:val="0"/>
        <w:autoSpaceDE/>
        <w:autoSpaceDN/>
        <w:bidi w:val="0"/>
        <w:adjustRightInd/>
        <w:snapToGrid/>
        <w:spacing w:line="560" w:lineRule="exact"/>
        <w:ind w:right="0"/>
        <w:textAlignment w:val="auto"/>
        <w:rPr>
          <w:rFonts w:hint="eastAsia" w:ascii="仿宋" w:hAnsi="仿宋" w:eastAsia="仿宋" w:cs="仿宋"/>
          <w:b/>
          <w:bCs/>
          <w:snapToGrid/>
          <w:color w:val="auto"/>
          <w:sz w:val="28"/>
          <w:szCs w:val="28"/>
          <w:lang w:val="en-US" w:eastAsia="zh-CN"/>
        </w:rPr>
      </w:pPr>
      <w:r>
        <w:rPr>
          <w:rFonts w:hint="eastAsia" w:ascii="仿宋" w:hAnsi="仿宋" w:eastAsia="仿宋" w:cs="仿宋"/>
          <w:b/>
          <w:bCs/>
          <w:snapToGrid/>
          <w:color w:val="auto"/>
          <w:sz w:val="28"/>
          <w:szCs w:val="28"/>
          <w:lang w:val="en-US" w:eastAsia="zh-CN"/>
        </w:rPr>
        <w:t>三、主要日程安排</w:t>
      </w:r>
    </w:p>
    <w:p w14:paraId="1458B275">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仿宋" w:hAnsi="仿宋" w:eastAsia="仿宋" w:cs="仿宋"/>
          <w:b w:val="0"/>
          <w:bCs w:val="0"/>
          <w:snapToGrid/>
          <w:color w:val="auto"/>
          <w:sz w:val="28"/>
          <w:szCs w:val="28"/>
          <w:lang w:val="en-US" w:eastAsia="zh-CN"/>
        </w:rPr>
      </w:pPr>
      <w:r>
        <w:rPr>
          <w:rFonts w:hint="eastAsia" w:ascii="仿宋" w:hAnsi="仿宋" w:eastAsia="仿宋" w:cs="仿宋"/>
          <w:b w:val="0"/>
          <w:bCs w:val="0"/>
          <w:snapToGrid/>
          <w:color w:val="auto"/>
          <w:sz w:val="28"/>
          <w:szCs w:val="28"/>
          <w:lang w:val="en-US" w:eastAsia="zh-CN"/>
        </w:rPr>
        <w:t>1.提交响应文件截止时间2025年01月14日上午10：00(北京时间)。</w:t>
      </w:r>
    </w:p>
    <w:p w14:paraId="79F836CF">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仿宋" w:hAnsi="仿宋" w:eastAsia="仿宋" w:cs="仿宋"/>
          <w:b w:val="0"/>
          <w:bCs w:val="0"/>
          <w:snapToGrid/>
          <w:color w:val="auto"/>
          <w:sz w:val="28"/>
          <w:szCs w:val="28"/>
          <w:lang w:val="en-US" w:eastAsia="zh-CN"/>
        </w:rPr>
      </w:pPr>
      <w:r>
        <w:rPr>
          <w:rFonts w:hint="eastAsia" w:ascii="仿宋" w:hAnsi="仿宋" w:eastAsia="仿宋" w:cs="仿宋"/>
          <w:b w:val="0"/>
          <w:bCs w:val="0"/>
          <w:snapToGrid/>
          <w:color w:val="auto"/>
          <w:sz w:val="28"/>
          <w:szCs w:val="28"/>
          <w:lang w:val="en-US" w:eastAsia="zh-CN"/>
        </w:rPr>
        <w:t>2.递交或邮寄地点：中煤长江地质集团有限公司（南京市栖霞区尧新大道5号515室招采部，联系人：刘工，联系电话025-85666601）。</w:t>
      </w:r>
    </w:p>
    <w:p w14:paraId="01BC21E4">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仿宋" w:hAnsi="仿宋" w:eastAsia="仿宋" w:cs="仿宋"/>
          <w:b w:val="0"/>
          <w:bCs w:val="0"/>
          <w:snapToGrid/>
          <w:color w:val="auto"/>
          <w:sz w:val="28"/>
          <w:szCs w:val="28"/>
          <w:lang w:val="en-US" w:eastAsia="zh-CN"/>
        </w:rPr>
      </w:pPr>
      <w:r>
        <w:rPr>
          <w:rFonts w:hint="eastAsia" w:ascii="仿宋" w:hAnsi="仿宋" w:eastAsia="仿宋" w:cs="仿宋"/>
          <w:b w:val="0"/>
          <w:bCs w:val="0"/>
          <w:snapToGrid/>
          <w:color w:val="auto"/>
          <w:sz w:val="28"/>
          <w:szCs w:val="28"/>
          <w:lang w:val="en-US" w:eastAsia="zh-CN"/>
        </w:rPr>
        <w:t>3.开标：2025年01月14日10:00 时(北京时间)在中煤长江地质集团5楼会议室开标会议室开标。</w:t>
      </w:r>
    </w:p>
    <w:p w14:paraId="1A2D2DDA">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上述安排如有变化，采购人将视情况在中煤长江基础建设有限公司官网发布通知。</w:t>
      </w:r>
    </w:p>
    <w:p w14:paraId="1B862ABB">
      <w:pPr>
        <w:pStyle w:val="3"/>
        <w:pageBreakBefore w:val="0"/>
        <w:widowControl/>
        <w:wordWrap/>
        <w:overflowPunct/>
        <w:topLinePunct w:val="0"/>
        <w:bidi w:val="0"/>
        <w:spacing w:before="0" w:after="0" w:line="560" w:lineRule="exact"/>
        <w:ind w:right="0"/>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、联系方式</w:t>
      </w:r>
    </w:p>
    <w:p w14:paraId="4F9EC2AB">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default" w:ascii="仿宋" w:hAnsi="仿宋" w:eastAsia="仿宋" w:cs="仿宋"/>
          <w:snapToGrid/>
          <w:color w:val="auto"/>
          <w:sz w:val="28"/>
          <w:szCs w:val="28"/>
          <w:lang w:val="en-US"/>
        </w:rPr>
      </w:pPr>
      <w:r>
        <w:rPr>
          <w:rFonts w:hint="eastAsia" w:ascii="仿宋" w:hAnsi="仿宋" w:eastAsia="仿宋" w:cs="仿宋"/>
          <w:snapToGrid/>
          <w:color w:val="auto"/>
          <w:sz w:val="28"/>
          <w:szCs w:val="28"/>
          <w:lang w:eastAsia="zh-CN"/>
        </w:rPr>
        <w:t>采购</w:t>
      </w:r>
      <w:r>
        <w:rPr>
          <w:rFonts w:hint="eastAsia" w:ascii="仿宋" w:hAnsi="仿宋" w:eastAsia="仿宋" w:cs="仿宋"/>
          <w:snapToGrid/>
          <w:color w:val="auto"/>
          <w:sz w:val="28"/>
          <w:szCs w:val="28"/>
        </w:rPr>
        <w:t>人：</w:t>
      </w:r>
      <w:r>
        <w:rPr>
          <w:rFonts w:hint="eastAsia" w:ascii="仿宋" w:hAnsi="仿宋" w:eastAsia="仿宋" w:cs="仿宋"/>
          <w:snapToGrid/>
          <w:color w:val="auto"/>
          <w:sz w:val="28"/>
          <w:szCs w:val="28"/>
          <w:lang w:eastAsia="zh-CN"/>
        </w:rPr>
        <w:t>中煤长江基础建设有限公司</w:t>
      </w:r>
    </w:p>
    <w:p w14:paraId="481F8260">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仿宋" w:hAnsi="仿宋" w:eastAsia="仿宋" w:cs="仿宋"/>
          <w:snapToGrid/>
          <w:color w:val="auto"/>
          <w:sz w:val="28"/>
          <w:szCs w:val="28"/>
        </w:rPr>
      </w:pPr>
      <w:r>
        <w:rPr>
          <w:rFonts w:hint="eastAsia" w:ascii="仿宋" w:hAnsi="仿宋" w:eastAsia="仿宋" w:cs="仿宋"/>
          <w:snapToGrid/>
          <w:color w:val="auto"/>
          <w:sz w:val="28"/>
          <w:szCs w:val="28"/>
        </w:rPr>
        <w:t>地  址：江苏省南京市栖霞区尧新大道5-1号，经营管理部315室</w:t>
      </w:r>
    </w:p>
    <w:p w14:paraId="6FAE3444">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仿宋" w:hAnsi="仿宋" w:eastAsia="仿宋" w:cs="仿宋"/>
          <w:snapToGrid/>
          <w:color w:val="auto"/>
          <w:sz w:val="28"/>
          <w:szCs w:val="28"/>
        </w:rPr>
      </w:pPr>
      <w:r>
        <w:rPr>
          <w:rFonts w:hint="eastAsia" w:ascii="仿宋" w:hAnsi="仿宋" w:eastAsia="仿宋" w:cs="仿宋"/>
          <w:snapToGrid/>
          <w:color w:val="auto"/>
          <w:sz w:val="28"/>
          <w:szCs w:val="28"/>
        </w:rPr>
        <w:t xml:space="preserve">联系人：何工             联系电话：025-68225841  </w:t>
      </w:r>
    </w:p>
    <w:p w14:paraId="50C0D48C">
      <w:pPr>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仿宋" w:hAnsi="仿宋" w:eastAsia="仿宋" w:cs="仿宋"/>
          <w:snapToGrid/>
          <w:color w:val="auto"/>
          <w:sz w:val="28"/>
          <w:szCs w:val="28"/>
        </w:rPr>
      </w:pPr>
      <w:r>
        <w:rPr>
          <w:rFonts w:hint="eastAsia" w:ascii="仿宋" w:hAnsi="仿宋" w:eastAsia="仿宋" w:cs="仿宋"/>
          <w:snapToGrid/>
          <w:color w:val="auto"/>
          <w:sz w:val="28"/>
          <w:szCs w:val="28"/>
        </w:rPr>
        <w:t>邮  箱：cjgscg@163.com     </w:t>
      </w:r>
    </w:p>
    <w:p w14:paraId="7DE0D59E">
      <w:pPr>
        <w:pageBreakBefore w:val="0"/>
        <w:widowControl/>
        <w:kinsoku/>
        <w:wordWrap/>
        <w:overflowPunct/>
        <w:topLinePunct w:val="0"/>
        <w:autoSpaceDE/>
        <w:autoSpaceDN/>
        <w:bidi w:val="0"/>
        <w:adjustRightInd/>
        <w:snapToGrid/>
        <w:spacing w:line="560" w:lineRule="exact"/>
        <w:ind w:right="0"/>
        <w:jc w:val="right"/>
        <w:textAlignment w:val="auto"/>
        <w:rPr>
          <w:rFonts w:hint="eastAsia" w:ascii="宋体" w:hAnsi="宋体" w:eastAsia="宋体" w:cs="宋体"/>
          <w:b/>
          <w:bCs w:val="0"/>
          <w:color w:val="000000"/>
          <w:kern w:val="2"/>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r>
        <w:rPr>
          <w:rFonts w:hint="eastAsia" w:ascii="仿宋" w:hAnsi="仿宋" w:eastAsia="仿宋" w:cs="仿宋"/>
          <w:b w:val="0"/>
          <w:snapToGrid/>
          <w:sz w:val="28"/>
          <w:szCs w:val="28"/>
          <w:lang w:val="en-US" w:eastAsia="zh-CN"/>
        </w:rPr>
        <w:t xml:space="preserve">                                          </w:t>
      </w:r>
      <w:r>
        <w:rPr>
          <w:rFonts w:hint="eastAsia" w:ascii="仿宋" w:hAnsi="仿宋" w:eastAsia="仿宋" w:cs="仿宋"/>
          <w:b w:val="0"/>
          <w:snapToGrid/>
          <w:color w:val="auto"/>
          <w:sz w:val="28"/>
          <w:szCs w:val="28"/>
          <w:lang w:eastAsia="zh-CN"/>
        </w:rPr>
        <w:t>202</w:t>
      </w:r>
      <w:r>
        <w:rPr>
          <w:rFonts w:hint="eastAsia" w:ascii="仿宋" w:hAnsi="仿宋" w:eastAsia="仿宋" w:cs="仿宋"/>
          <w:b w:val="0"/>
          <w:snapToGrid/>
          <w:color w:val="auto"/>
          <w:sz w:val="28"/>
          <w:szCs w:val="28"/>
          <w:lang w:val="en-US" w:eastAsia="zh-CN"/>
        </w:rPr>
        <w:t>5</w:t>
      </w:r>
      <w:r>
        <w:rPr>
          <w:rFonts w:hint="eastAsia" w:ascii="仿宋" w:hAnsi="仿宋" w:eastAsia="仿宋" w:cs="仿宋"/>
          <w:b w:val="0"/>
          <w:snapToGrid/>
          <w:color w:val="auto"/>
          <w:sz w:val="28"/>
          <w:szCs w:val="28"/>
          <w:lang w:eastAsia="zh-CN"/>
        </w:rPr>
        <w:t>年</w:t>
      </w:r>
      <w:r>
        <w:rPr>
          <w:rFonts w:hint="eastAsia" w:ascii="仿宋" w:hAnsi="仿宋" w:eastAsia="仿宋" w:cs="仿宋"/>
          <w:b w:val="0"/>
          <w:snapToGrid/>
          <w:color w:val="auto"/>
          <w:sz w:val="28"/>
          <w:szCs w:val="28"/>
          <w:lang w:val="en-US" w:eastAsia="zh-CN"/>
        </w:rPr>
        <w:t>01</w:t>
      </w:r>
      <w:r>
        <w:rPr>
          <w:rFonts w:hint="eastAsia" w:ascii="仿宋" w:hAnsi="仿宋" w:eastAsia="仿宋" w:cs="仿宋"/>
          <w:b w:val="0"/>
          <w:snapToGrid/>
          <w:color w:val="auto"/>
          <w:sz w:val="28"/>
          <w:szCs w:val="28"/>
          <w:lang w:eastAsia="zh-CN"/>
        </w:rPr>
        <w:t>月</w:t>
      </w:r>
      <w:r>
        <w:rPr>
          <w:rFonts w:hint="eastAsia" w:ascii="仿宋" w:hAnsi="仿宋" w:eastAsia="仿宋" w:cs="仿宋"/>
          <w:b w:val="0"/>
          <w:snapToGrid/>
          <w:color w:val="auto"/>
          <w:sz w:val="28"/>
          <w:szCs w:val="28"/>
          <w:lang w:val="en-US" w:eastAsia="zh-CN"/>
        </w:rPr>
        <w:t>10日</w:t>
      </w:r>
    </w:p>
    <w:p w14:paraId="699A54A0">
      <w:pPr>
        <w:pStyle w:val="2"/>
        <w:numPr>
          <w:ilvl w:val="0"/>
          <w:numId w:val="0"/>
        </w:numPr>
        <w:spacing w:before="0" w:after="0" w:line="660" w:lineRule="exact"/>
        <w:jc w:val="both"/>
        <w:rPr>
          <w:rFonts w:hint="eastAsia" w:ascii="宋体" w:hAnsi="宋体" w:eastAsia="宋体" w:cs="宋体"/>
          <w:b/>
          <w:bCs w:val="0"/>
          <w:color w:val="000000"/>
          <w:kern w:val="2"/>
          <w:sz w:val="28"/>
          <w:szCs w:val="28"/>
          <w:lang w:val="en-US" w:eastAsia="zh-CN" w:bidi="ar-SA"/>
        </w:rPr>
      </w:pPr>
    </w:p>
    <w:p w14:paraId="2C199513">
      <w:pPr>
        <w:pStyle w:val="2"/>
        <w:numPr>
          <w:ilvl w:val="0"/>
          <w:numId w:val="0"/>
        </w:numPr>
        <w:spacing w:before="0" w:after="0" w:line="660" w:lineRule="exact"/>
        <w:jc w:val="both"/>
        <w:rPr>
          <w:rFonts w:hint="eastAsia" w:ascii="宋体" w:hAnsi="宋体" w:eastAsia="宋体" w:cs="宋体"/>
          <w:b/>
          <w:bCs w:val="0"/>
          <w:color w:val="000000"/>
          <w:kern w:val="2"/>
          <w:sz w:val="28"/>
          <w:szCs w:val="28"/>
          <w:lang w:val="en-US" w:eastAsia="zh-CN" w:bidi="ar-SA"/>
        </w:rPr>
      </w:pPr>
    </w:p>
    <w:p w14:paraId="3C250C76">
      <w:pPr>
        <w:rPr>
          <w:rFonts w:hint="eastAsia"/>
          <w:lang w:val="en-US" w:eastAsia="zh-CN"/>
        </w:rPr>
      </w:pPr>
    </w:p>
    <w:p w14:paraId="03961C95">
      <w:pPr>
        <w:pStyle w:val="2"/>
        <w:numPr>
          <w:ilvl w:val="0"/>
          <w:numId w:val="0"/>
        </w:numPr>
        <w:spacing w:before="0" w:after="0" w:line="660" w:lineRule="exact"/>
        <w:jc w:val="center"/>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b/>
          <w:bCs w:val="0"/>
          <w:color w:val="000000"/>
          <w:kern w:val="2"/>
          <w:sz w:val="28"/>
          <w:szCs w:val="28"/>
          <w:lang w:val="en-US" w:eastAsia="zh-CN" w:bidi="ar-SA"/>
        </w:rPr>
        <w:t>第二章 询比须知</w:t>
      </w:r>
    </w:p>
    <w:p w14:paraId="3C13F047">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一、响应文件说明</w:t>
      </w:r>
    </w:p>
    <w:p w14:paraId="6F29B305">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1. 响应文件正本一份，应采用A4纸印刷（图表页可例外）装订成册，编制目录和页码，并不得采用活页装订，宜采用双面打印、软封面包装。</w:t>
      </w:r>
    </w:p>
    <w:p w14:paraId="6A4E1B4E">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2. 响应文件的密封、标记：</w:t>
      </w:r>
    </w:p>
    <w:p w14:paraId="49FF808C">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响应文件正本应加贴封条，并在封套的封口处加盖询比响应人单位公章。封套上注明项目名称、项目编号、响应人名称和地址及“在  年  月  日  时  00分前不得拆封”字样。</w:t>
      </w:r>
    </w:p>
    <w:p w14:paraId="11CE5BBE">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二、响应响应文件的提交</w:t>
      </w:r>
    </w:p>
    <w:p w14:paraId="7D1326EF">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1.响应响应文件提交的截止时间：2025年1月14日10时00分。</w:t>
      </w:r>
    </w:p>
    <w:p w14:paraId="5C70BEE6">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2.响应响应文件递交地址：中煤长江地质集团有限公司（南京市栖霞区尧新大道5号515室招采部，联系人：刘工，联系电话025-85666601）。</w:t>
      </w:r>
    </w:p>
    <w:p w14:paraId="2F6540EE">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三、报价、响应、成交</w:t>
      </w:r>
    </w:p>
    <w:p w14:paraId="2E40120D">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1.响应询比响应人发生以下条款情况之一者，视为无效响应，其响应文件将被拒绝：</w:t>
      </w:r>
    </w:p>
    <w:p w14:paraId="4FDBAAE4">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（1）逾期送达的；</w:t>
      </w:r>
    </w:p>
    <w:p w14:paraId="141681BB">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（2）响应文件不按规定的格式、内容填写或不按规定签字、盖章；</w:t>
      </w:r>
    </w:p>
    <w:p w14:paraId="78C05BC1">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（3）询比响应人无故不参加响应会议并未通知采购单位的；</w:t>
      </w:r>
    </w:p>
    <w:p w14:paraId="7D8E32AF">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（4）询比响应人的报价超出预算控制价的；</w:t>
      </w:r>
    </w:p>
    <w:p w14:paraId="60DD0830">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（5）法律、法规规定的其他情况。</w:t>
      </w:r>
    </w:p>
    <w:p w14:paraId="733293F4">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2.响应响应文件属于下列情形之一的，响应小组有权将其作废标处理，询比响应人给采购单位造成损失的，采购单位有索赔的权利。</w:t>
      </w:r>
    </w:p>
    <w:p w14:paraId="0CB1056C">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（1）提交的有关资格证明文件不真实，提供虚假报价材料的；</w:t>
      </w:r>
    </w:p>
    <w:p w14:paraId="13D75D69">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（2）响应会议开始后，询比响应人撤回响应响应文件，退出响应的；</w:t>
      </w:r>
    </w:p>
    <w:p w14:paraId="7C5EB6FC">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（3）询比响应人串通报价的；</w:t>
      </w:r>
    </w:p>
    <w:p w14:paraId="1449DDEF">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（4）询比响应人向采购单位、专家提供不正当利益的；</w:t>
      </w:r>
    </w:p>
    <w:p w14:paraId="4540E5BF">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（5）成交询比响应人不按规定签订合同的；</w:t>
      </w:r>
    </w:p>
    <w:p w14:paraId="2C8795E5">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（6）法律、法规规定的其他情况；</w:t>
      </w:r>
    </w:p>
    <w:p w14:paraId="2DC4C3FA">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3.由响应询比响应人在规定时间内进行书面最后一次报价及承诺，最后根据符合采购要求的质量和服务相等且报价最低的原则确定第一成交候选人。</w:t>
      </w:r>
    </w:p>
    <w:p w14:paraId="50E746DA">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4.成交通知</w:t>
      </w:r>
    </w:p>
    <w:p w14:paraId="25BB7FF4">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4.1 响应结束7日内，采购人将以书面形式发出《询比采购结果通知书》，《询比采购结果通知书》一经发出即发生法律效力。</w:t>
      </w:r>
    </w:p>
    <w:p w14:paraId="00C84CA8">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4.2 《询比采购结果通知书》将作为签订合同的重要依据之一。</w:t>
      </w:r>
    </w:p>
    <w:p w14:paraId="27C12CE1">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5. 签订合同</w:t>
      </w:r>
    </w:p>
    <w:p w14:paraId="5FEB21A1">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5.1 成交询比响应人收到《询比采购结果通知书》后15日内与采购人签订合同。</w:t>
      </w:r>
    </w:p>
    <w:p w14:paraId="54B8B451">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5.2 响应文件，询比响应人的响应响应文件及双方确认的澄清文件及承诺等均具有法律效力，均是合同的组成部分。</w:t>
      </w:r>
    </w:p>
    <w:p w14:paraId="310616C6">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kern w:val="2"/>
          <w:sz w:val="28"/>
          <w:szCs w:val="28"/>
          <w:lang w:val="en-US" w:eastAsia="zh-CN" w:bidi="ar-SA"/>
        </w:rPr>
        <w:t>附件：采购响应文件格式表格</w:t>
      </w:r>
    </w:p>
    <w:p w14:paraId="5B834034">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p>
    <w:p w14:paraId="3D6EA4E6">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p>
    <w:p w14:paraId="02E0330C">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p>
    <w:p w14:paraId="53B02034">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p>
    <w:p w14:paraId="0479FEC5">
      <w:pPr>
        <w:pStyle w:val="2"/>
        <w:numPr>
          <w:ilvl w:val="0"/>
          <w:numId w:val="0"/>
        </w:numPr>
        <w:spacing w:before="0" w:after="0" w:line="660" w:lineRule="exact"/>
        <w:jc w:val="both"/>
        <w:rPr>
          <w:rFonts w:hint="eastAsia" w:ascii="仿宋_GB2312" w:hAnsi="仿宋_GB2312" w:eastAsia="仿宋_GB2312" w:cs="仿宋_GB2312"/>
          <w:b w:val="0"/>
          <w:bCs/>
          <w:color w:val="000000"/>
          <w:kern w:val="2"/>
          <w:sz w:val="28"/>
          <w:szCs w:val="28"/>
          <w:lang w:val="en-US" w:eastAsia="zh-CN" w:bidi="ar-SA"/>
        </w:rPr>
      </w:pPr>
    </w:p>
    <w:p w14:paraId="23313605">
      <w:pPr>
        <w:pStyle w:val="2"/>
        <w:numPr>
          <w:ilvl w:val="0"/>
          <w:numId w:val="0"/>
        </w:numPr>
        <w:spacing w:before="0" w:after="0" w:line="660" w:lineRule="exact"/>
        <w:jc w:val="both"/>
        <w:rPr>
          <w:rFonts w:ascii="Times New Roman" w:hAnsi="Times New Roman" w:eastAsia="黑体"/>
          <w:sz w:val="44"/>
          <w:szCs w:val="44"/>
        </w:rPr>
      </w:pPr>
      <w:r>
        <w:rPr>
          <w:rFonts w:hint="eastAsia" w:ascii="仿宋_GB2312" w:hAnsi="仿宋_GB2312" w:eastAsia="仿宋_GB2312" w:cs="仿宋_GB2312"/>
          <w:b w:val="0"/>
          <w:bCs/>
          <w:color w:val="000000"/>
          <w:kern w:val="2"/>
          <w:sz w:val="28"/>
          <w:szCs w:val="28"/>
          <w:lang w:val="en-US" w:eastAsia="zh-CN" w:bidi="ar-SA"/>
        </w:rPr>
        <w:t>合同模版</w:t>
      </w:r>
    </w:p>
    <w:p w14:paraId="7D825753">
      <w:pPr>
        <w:jc w:val="center"/>
        <w:rPr>
          <w:rFonts w:ascii="Times New Roman" w:hAnsi="Times New Roman" w:eastAsia="黑体"/>
          <w:sz w:val="44"/>
          <w:szCs w:val="44"/>
        </w:rPr>
      </w:pPr>
      <w:r>
        <w:rPr>
          <w:rFonts w:ascii="Times New Roman" w:hAnsi="Times New Roman" w:eastAsia="黑体"/>
          <w:sz w:val="44"/>
          <w:szCs w:val="44"/>
        </w:rPr>
        <w:t>设备租赁合同</w:t>
      </w:r>
    </w:p>
    <w:p w14:paraId="17CC58E0">
      <w:pPr>
        <w:spacing w:line="330" w:lineRule="exact"/>
        <w:jc w:val="center"/>
        <w:rPr>
          <w:rFonts w:ascii="Times New Roman" w:hAnsi="Times New Roman"/>
          <w:sz w:val="24"/>
          <w:szCs w:val="24"/>
        </w:rPr>
      </w:pPr>
    </w:p>
    <w:p w14:paraId="370D8110">
      <w:pPr>
        <w:snapToGrid w:val="0"/>
        <w:spacing w:line="330" w:lineRule="exact"/>
        <w:ind w:firstLine="480" w:firstLineChars="200"/>
        <w:rPr>
          <w:rFonts w:ascii="黑体" w:hAnsi="黑体" w:eastAsia="黑体"/>
          <w:sz w:val="24"/>
        </w:rPr>
      </w:pPr>
      <w:r>
        <w:rPr>
          <w:rFonts w:ascii="Times New Roman"/>
          <w:sz w:val="24"/>
          <w:szCs w:val="24"/>
        </w:rPr>
        <w:t>甲方（承租方）：</w:t>
      </w:r>
      <w:r>
        <w:rPr>
          <w:rFonts w:ascii="黑体" w:hAnsi="黑体" w:eastAsia="黑体"/>
          <w:sz w:val="24"/>
        </w:rPr>
        <w:t>中煤长江基础建设有限公司</w:t>
      </w:r>
    </w:p>
    <w:p w14:paraId="0B0719F3">
      <w:pPr>
        <w:snapToGrid w:val="0"/>
        <w:spacing w:line="330" w:lineRule="exact"/>
        <w:ind w:firstLine="480" w:firstLineChars="200"/>
        <w:rPr>
          <w:rFonts w:ascii="黑体" w:hAnsi="黑体" w:eastAsia="黑体"/>
          <w:sz w:val="24"/>
        </w:rPr>
      </w:pPr>
      <w:r>
        <w:rPr>
          <w:rFonts w:ascii="Times New Roman"/>
          <w:sz w:val="24"/>
          <w:szCs w:val="24"/>
        </w:rPr>
        <w:t>甲方负责人：</w:t>
      </w:r>
    </w:p>
    <w:p w14:paraId="0E1AAFFF">
      <w:pPr>
        <w:snapToGrid w:val="0"/>
        <w:spacing w:line="330" w:lineRule="exact"/>
        <w:ind w:firstLine="480" w:firstLineChars="200"/>
        <w:rPr>
          <w:rFonts w:ascii="Times New Roman"/>
          <w:sz w:val="24"/>
          <w:szCs w:val="24"/>
        </w:rPr>
      </w:pPr>
      <w:r>
        <w:rPr>
          <w:rFonts w:ascii="Times New Roman"/>
          <w:sz w:val="24"/>
          <w:szCs w:val="24"/>
        </w:rPr>
        <w:t>甲方地址：</w:t>
      </w:r>
    </w:p>
    <w:p w14:paraId="766E03BB">
      <w:pPr>
        <w:snapToGrid w:val="0"/>
        <w:spacing w:line="330" w:lineRule="exact"/>
        <w:ind w:firstLine="480" w:firstLineChars="200"/>
        <w:rPr>
          <w:rFonts w:ascii="Times New Roman"/>
          <w:sz w:val="24"/>
          <w:szCs w:val="24"/>
        </w:rPr>
      </w:pPr>
      <w:r>
        <w:rPr>
          <w:rFonts w:ascii="Times New Roman"/>
          <w:sz w:val="24"/>
          <w:szCs w:val="24"/>
        </w:rPr>
        <w:t>乙方（出租方）：</w:t>
      </w:r>
    </w:p>
    <w:p w14:paraId="6CF4B952">
      <w:pPr>
        <w:snapToGrid w:val="0"/>
        <w:spacing w:line="330" w:lineRule="exact"/>
        <w:ind w:firstLine="480" w:firstLineChars="200"/>
        <w:rPr>
          <w:rFonts w:ascii="黑体" w:hAnsi="黑体" w:eastAsia="黑体"/>
          <w:sz w:val="24"/>
        </w:rPr>
      </w:pPr>
      <w:r>
        <w:rPr>
          <w:rFonts w:ascii="Times New Roman"/>
          <w:sz w:val="24"/>
          <w:szCs w:val="24"/>
        </w:rPr>
        <w:t>乙方负责人：</w:t>
      </w:r>
    </w:p>
    <w:p w14:paraId="447AD226">
      <w:pPr>
        <w:snapToGrid w:val="0"/>
        <w:spacing w:line="330" w:lineRule="exact"/>
        <w:ind w:firstLine="480" w:firstLineChars="200"/>
        <w:rPr>
          <w:rFonts w:ascii="Times New Roman" w:hAnsi="Times New Roman"/>
          <w:sz w:val="24"/>
          <w:szCs w:val="24"/>
        </w:rPr>
      </w:pPr>
      <w:r>
        <w:rPr>
          <w:rFonts w:ascii="Times New Roman"/>
          <w:sz w:val="24"/>
          <w:szCs w:val="24"/>
        </w:rPr>
        <w:t>乙方地址：</w:t>
      </w:r>
    </w:p>
    <w:p w14:paraId="1E7D3F4F">
      <w:pPr>
        <w:snapToGrid w:val="0"/>
        <w:spacing w:line="330" w:lineRule="exact"/>
        <w:ind w:firstLine="480" w:firstLineChars="200"/>
        <w:rPr>
          <w:rFonts w:ascii="Times New Roman" w:hAnsi="Times New Roman"/>
          <w:sz w:val="24"/>
          <w:szCs w:val="24"/>
        </w:rPr>
      </w:pPr>
      <w:r>
        <w:rPr>
          <w:rFonts w:ascii="Times New Roman" w:hAnsi="Times New Roman"/>
          <w:sz w:val="24"/>
          <w:szCs w:val="24"/>
        </w:rPr>
        <w:t>依照《</w:t>
      </w:r>
      <w:r>
        <w:rPr>
          <w:rFonts w:ascii="Times New Roman" w:hAnsi="Times New Roman" w:eastAsiaTheme="minorEastAsia"/>
          <w:sz w:val="24"/>
          <w:szCs w:val="24"/>
        </w:rPr>
        <w:t>中华人民共和国民法典</w:t>
      </w:r>
      <w:r>
        <w:rPr>
          <w:rFonts w:ascii="Times New Roman" w:hAnsi="Times New Roman"/>
          <w:sz w:val="24"/>
          <w:szCs w:val="24"/>
        </w:rPr>
        <w:t>》</w:t>
      </w:r>
      <w:r>
        <w:rPr>
          <w:rFonts w:ascii="Times New Roman" w:hAnsi="Times New Roman" w:eastAsia="仿宋"/>
        </w:rPr>
        <w:t>、</w:t>
      </w:r>
      <w:r>
        <w:rPr>
          <w:rFonts w:ascii="Times New Roman" w:hAnsi="Times New Roman" w:eastAsiaTheme="minorEastAsia"/>
          <w:sz w:val="24"/>
          <w:szCs w:val="24"/>
        </w:rPr>
        <w:t>《中华人民共和国建筑法》及其他法律、法规，遵循平等、自愿、公平和诚实信用的原则，现经双方协商达成一致</w:t>
      </w:r>
      <w:r>
        <w:rPr>
          <w:rFonts w:ascii="Times New Roman" w:hAnsi="Times New Roman"/>
          <w:sz w:val="24"/>
          <w:szCs w:val="24"/>
        </w:rPr>
        <w:t>，</w:t>
      </w:r>
      <w:r>
        <w:rPr>
          <w:rFonts w:ascii="Times New Roman" w:hAnsi="Times New Roman" w:eastAsiaTheme="minorEastAsia"/>
          <w:sz w:val="24"/>
          <w:szCs w:val="24"/>
        </w:rPr>
        <w:t>订立本合同。乙方已对工程现场环境、地质条件及所有有关资料进行了全面细致勘察和研究，已对工程施工所有相关图纸进行了详细研究和计算，并已对甲方有关项目管理规章制度充分了解。乙方自愿同意按照本合同要求履行其合同责任和义务，并保证以诚信、敬业和积极的态度</w:t>
      </w:r>
      <w:r>
        <w:rPr>
          <w:rFonts w:hint="eastAsia" w:ascii="Times New Roman" w:hAnsi="Times New Roman" w:eastAsiaTheme="minorEastAsia"/>
          <w:sz w:val="24"/>
          <w:szCs w:val="24"/>
        </w:rPr>
        <w:t>，</w:t>
      </w:r>
      <w:r>
        <w:rPr>
          <w:rFonts w:ascii="Times New Roman" w:hAnsi="Times New Roman" w:eastAsiaTheme="minorEastAsia"/>
          <w:sz w:val="24"/>
          <w:szCs w:val="24"/>
        </w:rPr>
        <w:t>服从甲方现场管理的各项指令以确保本工程的圆满竣工。</w:t>
      </w:r>
    </w:p>
    <w:p w14:paraId="7D6B4394">
      <w:pPr>
        <w:snapToGrid w:val="0"/>
        <w:spacing w:line="330" w:lineRule="exact"/>
        <w:ind w:firstLine="480" w:firstLineChars="200"/>
        <w:rPr>
          <w:rFonts w:ascii="Times New Roman" w:hAnsi="Times New Roman"/>
          <w:sz w:val="24"/>
          <w:szCs w:val="24"/>
        </w:rPr>
      </w:pPr>
      <w:r>
        <w:rPr>
          <w:rFonts w:ascii="Times New Roman"/>
          <w:sz w:val="24"/>
          <w:szCs w:val="24"/>
        </w:rPr>
        <w:t>乙方针对本项目委托</w:t>
      </w:r>
      <w:r>
        <w:rPr>
          <w:rFonts w:hint="eastAsia" w:ascii="Times New Roman"/>
          <w:sz w:val="24"/>
          <w:szCs w:val="24"/>
          <w:u w:val="single"/>
          <w:lang w:val="en-US" w:eastAsia="zh-CN"/>
        </w:rPr>
        <w:t xml:space="preserve">               </w:t>
      </w:r>
      <w:r>
        <w:rPr>
          <w:rFonts w:hint="eastAsia" w:ascii="黑体" w:hAnsi="黑体" w:eastAsia="黑体"/>
          <w:sz w:val="24"/>
          <w:szCs w:val="24"/>
          <w:u w:val="single"/>
        </w:rPr>
        <w:t xml:space="preserve"> </w:t>
      </w:r>
      <w:r>
        <w:rPr>
          <w:rFonts w:ascii="Times New Roman"/>
          <w:sz w:val="24"/>
          <w:szCs w:val="24"/>
        </w:rPr>
        <w:t>作为本项目代理人，负责本项目</w:t>
      </w:r>
      <w:r>
        <w:rPr>
          <w:rFonts w:hint="eastAsia" w:ascii="Times New Roman"/>
          <w:sz w:val="24"/>
          <w:szCs w:val="24"/>
          <w:u w:val="single"/>
        </w:rPr>
        <w:t xml:space="preserve"> </w:t>
      </w:r>
      <w:r>
        <w:rPr>
          <w:rFonts w:hint="eastAsia" w:ascii="黑体" w:hAnsi="黑体" w:eastAsia="黑体"/>
          <w:sz w:val="24"/>
          <w:szCs w:val="24"/>
          <w:u w:val="single"/>
        </w:rPr>
        <w:t>旋挖机设备</w:t>
      </w:r>
      <w:r>
        <w:rPr>
          <w:rFonts w:ascii="黑体" w:hAnsi="黑体" w:eastAsia="黑体"/>
          <w:sz w:val="24"/>
          <w:szCs w:val="24"/>
          <w:u w:val="single"/>
        </w:rPr>
        <w:t>租赁</w:t>
      </w:r>
      <w:r>
        <w:rPr>
          <w:rFonts w:hint="eastAsia" w:ascii="黑体" w:hAnsi="黑体" w:eastAsia="黑体"/>
          <w:sz w:val="24"/>
          <w:szCs w:val="24"/>
          <w:u w:val="single"/>
        </w:rPr>
        <w:t xml:space="preserve"> </w:t>
      </w:r>
      <w:r>
        <w:rPr>
          <w:rFonts w:ascii="Times New Roman"/>
          <w:sz w:val="24"/>
          <w:szCs w:val="24"/>
        </w:rPr>
        <w:t>的组织、协调、竣工验收、申请租赁款及决算等事项，其履约过程中所签署的一切文件和处理与之有关的一切事务，乙方均予以承认。</w:t>
      </w:r>
    </w:p>
    <w:p w14:paraId="06496AA0">
      <w:pPr>
        <w:snapToGrid w:val="0"/>
        <w:spacing w:line="330" w:lineRule="exact"/>
        <w:ind w:firstLine="480" w:firstLineChars="200"/>
        <w:rPr>
          <w:rFonts w:ascii="Times New Roman" w:hAnsi="Times New Roman" w:eastAsia="黑体"/>
          <w:sz w:val="24"/>
          <w:szCs w:val="24"/>
        </w:rPr>
      </w:pPr>
      <w:r>
        <w:rPr>
          <w:rFonts w:ascii="Times New Roman" w:hAnsi="Times New Roman" w:eastAsia="黑体"/>
          <w:sz w:val="24"/>
          <w:szCs w:val="24"/>
        </w:rPr>
        <w:t>第一条：工程名称、工程地点和工作内容</w:t>
      </w:r>
    </w:p>
    <w:p w14:paraId="1C17268B">
      <w:pPr>
        <w:spacing w:line="330" w:lineRule="exact"/>
        <w:ind w:firstLine="480" w:firstLineChars="200"/>
        <w:rPr>
          <w:rFonts w:ascii="Times New Roman" w:hAnsi="Times New Roman"/>
          <w:b/>
          <w:kern w:val="0"/>
          <w:sz w:val="24"/>
          <w:u w:val="single"/>
        </w:rPr>
      </w:pPr>
      <w:r>
        <w:rPr>
          <w:rFonts w:asciiTheme="minorEastAsia" w:hAnsiTheme="minorEastAsia" w:eastAsiaTheme="minorEastAsia"/>
          <w:sz w:val="24"/>
          <w:szCs w:val="24"/>
        </w:rPr>
        <w:t>1、工程名称：</w:t>
      </w:r>
      <w:r>
        <w:rPr>
          <w:rFonts w:hint="eastAsia" w:ascii="黑体" w:hAnsi="黑体" w:eastAsia="黑体"/>
          <w:sz w:val="24"/>
          <w:szCs w:val="24"/>
          <w:u w:val="single"/>
        </w:rPr>
        <w:t>南京地铁宁扬线土建工程DS5-TA02标机械成孔灌注桩及加固工程</w:t>
      </w:r>
    </w:p>
    <w:p w14:paraId="091A2675">
      <w:pPr>
        <w:snapToGrid w:val="0"/>
        <w:spacing w:line="330" w:lineRule="exact"/>
        <w:ind w:firstLine="480" w:firstLineChars="200"/>
        <w:rPr>
          <w:rFonts w:ascii="黑体" w:hAnsi="黑体" w:eastAsia="黑体"/>
          <w:sz w:val="24"/>
          <w:u w:val="single"/>
        </w:rPr>
      </w:pPr>
      <w:r>
        <w:rPr>
          <w:rFonts w:asciiTheme="minorEastAsia" w:hAnsiTheme="minorEastAsia" w:eastAsiaTheme="minorEastAsia"/>
          <w:sz w:val="24"/>
          <w:szCs w:val="24"/>
        </w:rPr>
        <w:t>2、工程地点：</w:t>
      </w:r>
      <w:r>
        <w:rPr>
          <w:rFonts w:hint="eastAsia" w:ascii="黑体" w:hAnsi="黑体" w:eastAsia="黑体"/>
          <w:sz w:val="24"/>
          <w:szCs w:val="24"/>
          <w:u w:val="single"/>
        </w:rPr>
        <w:t>南京市栖霞区齐民东路</w:t>
      </w:r>
    </w:p>
    <w:p w14:paraId="7FE97A06">
      <w:pPr>
        <w:snapToGrid w:val="0"/>
        <w:spacing w:line="330" w:lineRule="exact"/>
        <w:ind w:firstLine="480" w:firstLineChars="200"/>
        <w:rPr>
          <w:rFonts w:ascii="黑体" w:hAnsi="黑体" w:eastAsia="黑体"/>
          <w:sz w:val="24"/>
          <w:u w:val="single"/>
        </w:rPr>
      </w:pPr>
      <w:r>
        <w:rPr>
          <w:rFonts w:asciiTheme="minorEastAsia" w:hAnsiTheme="minorEastAsia" w:eastAsiaTheme="minorEastAsia"/>
          <w:sz w:val="24"/>
          <w:szCs w:val="24"/>
        </w:rPr>
        <w:t>3、工作内容：</w:t>
      </w:r>
      <w:r>
        <w:rPr>
          <w:rFonts w:ascii="黑体" w:hAnsi="黑体" w:eastAsia="黑体"/>
          <w:sz w:val="24"/>
          <w:u w:val="single"/>
        </w:rPr>
        <w:t>负责提供施工所需的</w:t>
      </w:r>
      <w:r>
        <w:rPr>
          <w:rFonts w:hint="eastAsia" w:ascii="黑体" w:hAnsi="黑体" w:eastAsia="黑体"/>
          <w:sz w:val="24"/>
          <w:u w:val="single"/>
        </w:rPr>
        <w:t>旋挖机</w:t>
      </w:r>
      <w:r>
        <w:rPr>
          <w:rFonts w:ascii="黑体" w:hAnsi="黑体" w:eastAsia="黑体"/>
          <w:sz w:val="24"/>
          <w:u w:val="single"/>
        </w:rPr>
        <w:t>设备</w:t>
      </w:r>
      <w:r>
        <w:rPr>
          <w:rFonts w:hint="eastAsia" w:ascii="黑体" w:hAnsi="黑体" w:eastAsia="黑体"/>
          <w:sz w:val="24"/>
          <w:u w:val="single"/>
        </w:rPr>
        <w:t>（含</w:t>
      </w:r>
      <w:r>
        <w:rPr>
          <w:rFonts w:ascii="黑体" w:hAnsi="黑体" w:eastAsia="黑体"/>
          <w:sz w:val="24"/>
          <w:u w:val="single"/>
        </w:rPr>
        <w:t>配套挖机</w:t>
      </w:r>
      <w:r>
        <w:rPr>
          <w:rFonts w:hint="eastAsia" w:ascii="黑体" w:hAnsi="黑体" w:eastAsia="黑体"/>
          <w:sz w:val="24"/>
          <w:u w:val="single"/>
        </w:rPr>
        <w:t>、</w:t>
      </w:r>
      <w:r>
        <w:rPr>
          <w:rFonts w:ascii="黑体" w:hAnsi="黑体" w:eastAsia="黑体"/>
          <w:sz w:val="24"/>
          <w:u w:val="single"/>
        </w:rPr>
        <w:t>吊车</w:t>
      </w:r>
      <w:r>
        <w:rPr>
          <w:rFonts w:hint="eastAsia" w:ascii="黑体" w:hAnsi="黑体" w:eastAsia="黑体"/>
          <w:sz w:val="24"/>
          <w:u w:val="single"/>
        </w:rPr>
        <w:t>、钻杆、</w:t>
      </w:r>
      <w:r>
        <w:rPr>
          <w:rFonts w:ascii="黑体" w:hAnsi="黑体" w:eastAsia="黑体"/>
          <w:sz w:val="24"/>
          <w:u w:val="single"/>
        </w:rPr>
        <w:t>钻头等</w:t>
      </w:r>
      <w:r>
        <w:rPr>
          <w:rFonts w:hint="eastAsia" w:ascii="黑体" w:hAnsi="黑体" w:eastAsia="黑体"/>
          <w:sz w:val="24"/>
          <w:u w:val="single"/>
        </w:rPr>
        <w:t>）</w:t>
      </w:r>
    </w:p>
    <w:p w14:paraId="603CDEE9">
      <w:pPr>
        <w:snapToGrid w:val="0"/>
        <w:spacing w:line="330" w:lineRule="exact"/>
        <w:ind w:firstLine="480" w:firstLineChars="200"/>
        <w:rPr>
          <w:rFonts w:ascii="Times New Roman" w:hAnsi="Times New Roman" w:eastAsia="黑体"/>
          <w:sz w:val="24"/>
          <w:szCs w:val="24"/>
        </w:rPr>
      </w:pPr>
      <w:r>
        <w:rPr>
          <w:rFonts w:ascii="Times New Roman" w:hAnsi="Times New Roman" w:eastAsia="黑体"/>
          <w:sz w:val="24"/>
          <w:szCs w:val="24"/>
        </w:rPr>
        <w:t>第二条：设备名称、规格型号及数量</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509"/>
        <w:gridCol w:w="2126"/>
        <w:gridCol w:w="1701"/>
        <w:gridCol w:w="1826"/>
      </w:tblGrid>
      <w:tr w14:paraId="4172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vAlign w:val="center"/>
          </w:tcPr>
          <w:p w14:paraId="7C1EEB0A">
            <w:pPr>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2509" w:type="dxa"/>
            <w:vAlign w:val="center"/>
          </w:tcPr>
          <w:p w14:paraId="52D876A4">
            <w:pPr>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设备名称</w:t>
            </w:r>
          </w:p>
        </w:tc>
        <w:tc>
          <w:tcPr>
            <w:tcW w:w="2126" w:type="dxa"/>
            <w:vAlign w:val="center"/>
          </w:tcPr>
          <w:p w14:paraId="096D3BF5">
            <w:pPr>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规格型号</w:t>
            </w:r>
          </w:p>
        </w:tc>
        <w:tc>
          <w:tcPr>
            <w:tcW w:w="1701" w:type="dxa"/>
            <w:vAlign w:val="center"/>
          </w:tcPr>
          <w:p w14:paraId="50F1F061">
            <w:pPr>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暂定数量</w:t>
            </w:r>
          </w:p>
        </w:tc>
        <w:tc>
          <w:tcPr>
            <w:tcW w:w="1826" w:type="dxa"/>
            <w:vAlign w:val="center"/>
          </w:tcPr>
          <w:p w14:paraId="206CD1B9">
            <w:pPr>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备注</w:t>
            </w:r>
          </w:p>
        </w:tc>
      </w:tr>
      <w:tr w14:paraId="2751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vAlign w:val="center"/>
          </w:tcPr>
          <w:p w14:paraId="3035BEA8">
            <w:pPr>
              <w:snapToGrid w:val="0"/>
              <w:jc w:val="center"/>
              <w:rPr>
                <w:rFonts w:ascii="黑体" w:hAnsi="黑体" w:eastAsia="黑体"/>
                <w:sz w:val="24"/>
                <w:szCs w:val="24"/>
              </w:rPr>
            </w:pPr>
          </w:p>
        </w:tc>
        <w:tc>
          <w:tcPr>
            <w:tcW w:w="2509" w:type="dxa"/>
            <w:vAlign w:val="center"/>
          </w:tcPr>
          <w:p w14:paraId="21AE49BA">
            <w:pPr>
              <w:widowControl/>
              <w:jc w:val="center"/>
              <w:rPr>
                <w:rFonts w:ascii="黑体" w:hAnsi="黑体" w:eastAsia="黑体"/>
                <w:sz w:val="24"/>
                <w:szCs w:val="24"/>
              </w:rPr>
            </w:pPr>
          </w:p>
        </w:tc>
        <w:tc>
          <w:tcPr>
            <w:tcW w:w="2126" w:type="dxa"/>
            <w:vAlign w:val="center"/>
          </w:tcPr>
          <w:p w14:paraId="664D373A">
            <w:pPr>
              <w:widowControl/>
              <w:jc w:val="center"/>
              <w:rPr>
                <w:rFonts w:ascii="黑体" w:hAnsi="黑体" w:eastAsia="黑体"/>
                <w:sz w:val="24"/>
                <w:szCs w:val="24"/>
              </w:rPr>
            </w:pPr>
          </w:p>
        </w:tc>
        <w:tc>
          <w:tcPr>
            <w:tcW w:w="1701" w:type="dxa"/>
            <w:vAlign w:val="center"/>
          </w:tcPr>
          <w:p w14:paraId="414C1050">
            <w:pPr>
              <w:snapToGrid w:val="0"/>
              <w:jc w:val="center"/>
              <w:rPr>
                <w:rFonts w:ascii="黑体" w:hAnsi="黑体" w:eastAsia="黑体"/>
                <w:sz w:val="24"/>
                <w:szCs w:val="24"/>
              </w:rPr>
            </w:pPr>
          </w:p>
        </w:tc>
        <w:tc>
          <w:tcPr>
            <w:tcW w:w="1826" w:type="dxa"/>
            <w:vAlign w:val="center"/>
          </w:tcPr>
          <w:p w14:paraId="6E495163">
            <w:pPr>
              <w:snapToGrid w:val="0"/>
              <w:jc w:val="center"/>
              <w:rPr>
                <w:rFonts w:ascii="黑体" w:hAnsi="黑体" w:eastAsia="黑体"/>
                <w:sz w:val="24"/>
                <w:szCs w:val="24"/>
              </w:rPr>
            </w:pPr>
          </w:p>
        </w:tc>
      </w:tr>
      <w:tr w14:paraId="22AF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vAlign w:val="center"/>
          </w:tcPr>
          <w:p w14:paraId="1C31CB2B">
            <w:pPr>
              <w:snapToGrid w:val="0"/>
              <w:jc w:val="center"/>
              <w:rPr>
                <w:rFonts w:ascii="黑体" w:hAnsi="黑体" w:eastAsia="黑体"/>
                <w:sz w:val="24"/>
                <w:szCs w:val="24"/>
              </w:rPr>
            </w:pPr>
          </w:p>
        </w:tc>
        <w:tc>
          <w:tcPr>
            <w:tcW w:w="2509" w:type="dxa"/>
            <w:vAlign w:val="center"/>
          </w:tcPr>
          <w:p w14:paraId="24B4CC99">
            <w:pPr>
              <w:widowControl/>
              <w:jc w:val="center"/>
              <w:rPr>
                <w:rFonts w:ascii="黑体" w:hAnsi="黑体" w:eastAsia="黑体"/>
                <w:sz w:val="24"/>
                <w:szCs w:val="24"/>
              </w:rPr>
            </w:pPr>
          </w:p>
        </w:tc>
        <w:tc>
          <w:tcPr>
            <w:tcW w:w="2126" w:type="dxa"/>
            <w:vAlign w:val="center"/>
          </w:tcPr>
          <w:p w14:paraId="1C5DA219">
            <w:pPr>
              <w:widowControl/>
              <w:jc w:val="center"/>
              <w:rPr>
                <w:rFonts w:ascii="黑体" w:hAnsi="黑体" w:eastAsia="黑体"/>
                <w:sz w:val="24"/>
                <w:szCs w:val="24"/>
              </w:rPr>
            </w:pPr>
          </w:p>
        </w:tc>
        <w:tc>
          <w:tcPr>
            <w:tcW w:w="1701" w:type="dxa"/>
            <w:vAlign w:val="center"/>
          </w:tcPr>
          <w:p w14:paraId="53DC04B1">
            <w:pPr>
              <w:snapToGrid w:val="0"/>
              <w:jc w:val="center"/>
              <w:rPr>
                <w:rFonts w:ascii="黑体" w:hAnsi="黑体" w:eastAsia="黑体"/>
                <w:sz w:val="24"/>
                <w:szCs w:val="24"/>
              </w:rPr>
            </w:pPr>
          </w:p>
        </w:tc>
        <w:tc>
          <w:tcPr>
            <w:tcW w:w="1826" w:type="dxa"/>
            <w:vAlign w:val="center"/>
          </w:tcPr>
          <w:p w14:paraId="5C6B3B3A">
            <w:pPr>
              <w:snapToGrid w:val="0"/>
              <w:jc w:val="center"/>
              <w:rPr>
                <w:rFonts w:ascii="黑体" w:hAnsi="黑体" w:eastAsia="黑体"/>
                <w:sz w:val="24"/>
                <w:szCs w:val="24"/>
              </w:rPr>
            </w:pPr>
          </w:p>
        </w:tc>
      </w:tr>
      <w:tr w14:paraId="774A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 w:type="dxa"/>
            <w:vAlign w:val="center"/>
          </w:tcPr>
          <w:p w14:paraId="3C6F6132">
            <w:pPr>
              <w:snapToGrid w:val="0"/>
              <w:jc w:val="center"/>
              <w:rPr>
                <w:rFonts w:ascii="黑体" w:hAnsi="黑体" w:eastAsia="黑体"/>
                <w:sz w:val="24"/>
                <w:szCs w:val="24"/>
              </w:rPr>
            </w:pPr>
          </w:p>
        </w:tc>
        <w:tc>
          <w:tcPr>
            <w:tcW w:w="2509" w:type="dxa"/>
            <w:vAlign w:val="center"/>
          </w:tcPr>
          <w:p w14:paraId="57057731">
            <w:pPr>
              <w:widowControl/>
              <w:jc w:val="center"/>
              <w:rPr>
                <w:rFonts w:ascii="黑体" w:hAnsi="黑体" w:eastAsia="黑体"/>
                <w:sz w:val="24"/>
                <w:szCs w:val="24"/>
              </w:rPr>
            </w:pPr>
          </w:p>
        </w:tc>
        <w:tc>
          <w:tcPr>
            <w:tcW w:w="2126" w:type="dxa"/>
            <w:vAlign w:val="center"/>
          </w:tcPr>
          <w:p w14:paraId="153DDE44">
            <w:pPr>
              <w:widowControl/>
              <w:jc w:val="center"/>
              <w:rPr>
                <w:rFonts w:ascii="黑体" w:hAnsi="黑体" w:eastAsia="黑体"/>
                <w:sz w:val="24"/>
                <w:szCs w:val="24"/>
              </w:rPr>
            </w:pPr>
          </w:p>
        </w:tc>
        <w:tc>
          <w:tcPr>
            <w:tcW w:w="1701" w:type="dxa"/>
            <w:vAlign w:val="center"/>
          </w:tcPr>
          <w:p w14:paraId="3E68667D">
            <w:pPr>
              <w:snapToGrid w:val="0"/>
              <w:jc w:val="center"/>
              <w:rPr>
                <w:rFonts w:ascii="黑体" w:hAnsi="黑体" w:eastAsia="黑体"/>
                <w:sz w:val="24"/>
                <w:szCs w:val="24"/>
              </w:rPr>
            </w:pPr>
          </w:p>
        </w:tc>
        <w:tc>
          <w:tcPr>
            <w:tcW w:w="1826" w:type="dxa"/>
            <w:vAlign w:val="center"/>
          </w:tcPr>
          <w:p w14:paraId="05D7F59E">
            <w:pPr>
              <w:snapToGrid w:val="0"/>
              <w:jc w:val="center"/>
              <w:rPr>
                <w:rFonts w:ascii="黑体" w:hAnsi="黑体" w:eastAsia="黑体"/>
                <w:sz w:val="24"/>
                <w:szCs w:val="24"/>
              </w:rPr>
            </w:pPr>
          </w:p>
        </w:tc>
      </w:tr>
    </w:tbl>
    <w:p w14:paraId="42150C4E">
      <w:pPr>
        <w:snapToGrid w:val="0"/>
        <w:spacing w:line="330" w:lineRule="exact"/>
        <w:ind w:firstLine="480" w:firstLineChars="200"/>
        <w:rPr>
          <w:rFonts w:ascii="Times New Roman" w:hAnsi="Times New Roman" w:eastAsia="黑体"/>
          <w:sz w:val="24"/>
          <w:szCs w:val="24"/>
        </w:rPr>
      </w:pPr>
      <w:r>
        <w:rPr>
          <w:rFonts w:ascii="Times New Roman" w:hAnsi="Times New Roman" w:eastAsia="黑体"/>
          <w:sz w:val="24"/>
          <w:szCs w:val="24"/>
        </w:rPr>
        <w:t>第三条：租赁期限及租赁时间计算方式</w:t>
      </w:r>
    </w:p>
    <w:p w14:paraId="724F33AC">
      <w:pPr>
        <w:snapToGrid w:val="0"/>
        <w:spacing w:line="330" w:lineRule="exact"/>
        <w:ind w:firstLine="480" w:firstLineChars="200"/>
        <w:rPr>
          <w:rFonts w:ascii="Times New Roman"/>
          <w:sz w:val="24"/>
          <w:szCs w:val="24"/>
        </w:rPr>
      </w:pPr>
      <w:r>
        <w:rPr>
          <w:rFonts w:asciiTheme="minorEastAsia" w:hAnsiTheme="minorEastAsia" w:eastAsiaTheme="minorEastAsia"/>
          <w:sz w:val="24"/>
          <w:szCs w:val="24"/>
        </w:rPr>
        <w:t>1、暂定租赁期</w:t>
      </w:r>
      <w:r>
        <w:rPr>
          <w:rFonts w:ascii="Times New Roman"/>
          <w:sz w:val="24"/>
          <w:szCs w:val="24"/>
        </w:rPr>
        <w:t>限：自</w:t>
      </w:r>
      <w:r>
        <w:rPr>
          <w:rFonts w:hint="eastAsia" w:ascii="Times New Roman"/>
          <w:sz w:val="24"/>
          <w:szCs w:val="24"/>
          <w:u w:val="single"/>
        </w:rPr>
        <w:t xml:space="preserve"> </w:t>
      </w:r>
      <w:r>
        <w:rPr>
          <w:rFonts w:hint="eastAsia" w:ascii="黑体" w:hAnsi="黑体" w:eastAsia="黑体"/>
          <w:sz w:val="24"/>
          <w:u w:val="single"/>
        </w:rPr>
        <w:t xml:space="preserve">    </w:t>
      </w:r>
      <w:r>
        <w:rPr>
          <w:rFonts w:ascii="Times New Roman"/>
          <w:sz w:val="24"/>
          <w:szCs w:val="24"/>
        </w:rPr>
        <w:t>年</w:t>
      </w:r>
      <w:r>
        <w:rPr>
          <w:rFonts w:hint="eastAsia" w:ascii="Times New Roman"/>
          <w:sz w:val="24"/>
          <w:szCs w:val="24"/>
          <w:u w:val="single"/>
        </w:rPr>
        <w:t xml:space="preserve"> </w:t>
      </w:r>
      <w:r>
        <w:rPr>
          <w:rFonts w:hint="eastAsia" w:ascii="黑体" w:hAnsi="黑体" w:eastAsia="黑体"/>
          <w:sz w:val="24"/>
          <w:u w:val="single"/>
        </w:rPr>
        <w:t xml:space="preserve">  </w:t>
      </w:r>
      <w:r>
        <w:rPr>
          <w:rFonts w:ascii="Times New Roman"/>
          <w:sz w:val="24"/>
          <w:szCs w:val="24"/>
        </w:rPr>
        <w:t>月</w:t>
      </w:r>
      <w:r>
        <w:rPr>
          <w:rFonts w:hint="eastAsia" w:ascii="黑体" w:hAnsi="黑体" w:eastAsia="黑体"/>
          <w:sz w:val="24"/>
          <w:u w:val="single"/>
        </w:rPr>
        <w:t xml:space="preserve">    </w:t>
      </w:r>
      <w:r>
        <w:rPr>
          <w:rFonts w:ascii="Times New Roman"/>
          <w:sz w:val="24"/>
          <w:szCs w:val="24"/>
        </w:rPr>
        <w:t>日起至</w:t>
      </w:r>
      <w:r>
        <w:rPr>
          <w:rFonts w:hint="eastAsia" w:ascii="Times New Roman"/>
          <w:sz w:val="24"/>
          <w:szCs w:val="24"/>
          <w:u w:val="single"/>
        </w:rPr>
        <w:t xml:space="preserve"> </w:t>
      </w:r>
      <w:r>
        <w:rPr>
          <w:rFonts w:hint="eastAsia" w:ascii="黑体" w:hAnsi="黑体" w:eastAsia="黑体"/>
          <w:sz w:val="24"/>
          <w:u w:val="single"/>
        </w:rPr>
        <w:t xml:space="preserve"> </w:t>
      </w:r>
      <w:r>
        <w:rPr>
          <w:rFonts w:ascii="Times New Roman"/>
          <w:sz w:val="24"/>
          <w:szCs w:val="24"/>
        </w:rPr>
        <w:t>年</w:t>
      </w:r>
      <w:r>
        <w:rPr>
          <w:rFonts w:ascii="黑体" w:hAnsi="黑体" w:eastAsia="黑体"/>
          <w:sz w:val="24"/>
          <w:u w:val="single"/>
        </w:rPr>
        <w:t xml:space="preserve"> </w:t>
      </w:r>
      <w:r>
        <w:rPr>
          <w:rFonts w:hint="eastAsia" w:ascii="黑体" w:hAnsi="黑体" w:eastAsia="黑体"/>
          <w:sz w:val="24"/>
          <w:u w:val="single"/>
        </w:rPr>
        <w:t xml:space="preserve">  </w:t>
      </w:r>
      <w:r>
        <w:rPr>
          <w:rFonts w:ascii="Times New Roman"/>
          <w:sz w:val="24"/>
          <w:szCs w:val="24"/>
        </w:rPr>
        <w:t>月</w:t>
      </w:r>
      <w:r>
        <w:rPr>
          <w:rFonts w:ascii="黑体" w:hAnsi="黑体" w:eastAsia="黑体"/>
          <w:sz w:val="24"/>
          <w:u w:val="single"/>
        </w:rPr>
        <w:t xml:space="preserve"> </w:t>
      </w:r>
      <w:r>
        <w:rPr>
          <w:rFonts w:hint="eastAsia" w:ascii="黑体" w:hAnsi="黑体" w:eastAsia="黑体"/>
          <w:sz w:val="24"/>
          <w:u w:val="single"/>
        </w:rPr>
        <w:t xml:space="preserve">  </w:t>
      </w:r>
      <w:r>
        <w:rPr>
          <w:rFonts w:ascii="黑体" w:hAnsi="黑体" w:eastAsia="黑体"/>
          <w:sz w:val="24"/>
          <w:u w:val="single"/>
        </w:rPr>
        <w:t xml:space="preserve"> </w:t>
      </w:r>
      <w:r>
        <w:rPr>
          <w:rFonts w:ascii="Times New Roman"/>
          <w:sz w:val="24"/>
          <w:szCs w:val="24"/>
        </w:rPr>
        <w:t>日止，具体以实际租赁时间为准。</w:t>
      </w:r>
    </w:p>
    <w:p w14:paraId="324358C6">
      <w:pPr>
        <w:snapToGrid w:val="0"/>
        <w:spacing w:line="33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2、租赁时间计算方式：</w:t>
      </w:r>
      <w:r>
        <w:rPr>
          <w:rFonts w:hint="eastAsia" w:asciiTheme="minorEastAsia" w:hAnsiTheme="minorEastAsia" w:eastAsiaTheme="minorEastAsia"/>
          <w:sz w:val="24"/>
        </w:rPr>
        <w:t>设备到达工地且</w:t>
      </w:r>
      <w:r>
        <w:rPr>
          <w:rFonts w:asciiTheme="minorEastAsia" w:hAnsiTheme="minorEastAsia" w:eastAsiaTheme="minorEastAsia"/>
          <w:sz w:val="24"/>
        </w:rPr>
        <w:t>拼装完成具备使用条件后开始计算</w:t>
      </w:r>
      <w:r>
        <w:rPr>
          <w:rFonts w:hint="eastAsia" w:asciiTheme="minorEastAsia" w:hAnsiTheme="minorEastAsia" w:eastAsiaTheme="minorEastAsia"/>
          <w:sz w:val="24"/>
        </w:rPr>
        <w:t>（</w:t>
      </w:r>
      <w:r>
        <w:rPr>
          <w:rFonts w:asciiTheme="minorEastAsia" w:hAnsiTheme="minorEastAsia" w:eastAsiaTheme="minorEastAsia"/>
          <w:sz w:val="24"/>
        </w:rPr>
        <w:t>若上午具备使用时间</w:t>
      </w:r>
      <w:r>
        <w:rPr>
          <w:rFonts w:hint="eastAsia" w:asciiTheme="minorEastAsia" w:hAnsiTheme="minorEastAsia" w:eastAsiaTheme="minorEastAsia"/>
          <w:sz w:val="24"/>
        </w:rPr>
        <w:t>，</w:t>
      </w:r>
      <w:r>
        <w:rPr>
          <w:rFonts w:asciiTheme="minorEastAsia" w:hAnsiTheme="minorEastAsia" w:eastAsiaTheme="minorEastAsia"/>
          <w:sz w:val="24"/>
        </w:rPr>
        <w:t>则从</w:t>
      </w:r>
      <w:r>
        <w:rPr>
          <w:rFonts w:hint="eastAsia" w:asciiTheme="minorEastAsia" w:hAnsiTheme="minorEastAsia" w:eastAsiaTheme="minorEastAsia"/>
          <w:sz w:val="24"/>
        </w:rPr>
        <w:t>该</w:t>
      </w:r>
      <w:r>
        <w:rPr>
          <w:rFonts w:asciiTheme="minorEastAsia" w:hAnsiTheme="minorEastAsia" w:eastAsiaTheme="minorEastAsia"/>
          <w:sz w:val="24"/>
        </w:rPr>
        <w:t>天开始计算，若下午具备使用时间</w:t>
      </w:r>
      <w:r>
        <w:rPr>
          <w:rFonts w:hint="eastAsia" w:asciiTheme="minorEastAsia" w:hAnsiTheme="minorEastAsia" w:eastAsiaTheme="minorEastAsia"/>
          <w:sz w:val="24"/>
        </w:rPr>
        <w:t>，则</w:t>
      </w:r>
      <w:r>
        <w:rPr>
          <w:rFonts w:asciiTheme="minorEastAsia" w:hAnsiTheme="minorEastAsia" w:eastAsiaTheme="minorEastAsia"/>
          <w:sz w:val="24"/>
        </w:rPr>
        <w:t>从第二天开始计算</w:t>
      </w:r>
      <w:r>
        <w:rPr>
          <w:rFonts w:hint="eastAsia" w:asciiTheme="minorEastAsia" w:hAnsiTheme="minorEastAsia" w:eastAsiaTheme="minorEastAsia"/>
          <w:sz w:val="24"/>
        </w:rPr>
        <w:t>）</w:t>
      </w:r>
      <w:r>
        <w:rPr>
          <w:rFonts w:asciiTheme="minorEastAsia" w:hAnsiTheme="minorEastAsia" w:eastAsiaTheme="minorEastAsia"/>
          <w:sz w:val="24"/>
        </w:rPr>
        <w:t>，至甲方通知乙方退场之日</w:t>
      </w:r>
      <w:r>
        <w:rPr>
          <w:rFonts w:hint="eastAsia" w:asciiTheme="minorEastAsia" w:hAnsiTheme="minorEastAsia" w:eastAsiaTheme="minorEastAsia"/>
          <w:sz w:val="24"/>
        </w:rPr>
        <w:t>止，</w:t>
      </w:r>
      <w:r>
        <w:rPr>
          <w:rFonts w:asciiTheme="minorEastAsia" w:hAnsiTheme="minorEastAsia" w:eastAsiaTheme="minorEastAsia"/>
          <w:sz w:val="24"/>
        </w:rPr>
        <w:t>按实际租赁时间计算。</w:t>
      </w:r>
    </w:p>
    <w:p w14:paraId="10470C9D">
      <w:pPr>
        <w:snapToGrid w:val="0"/>
        <w:spacing w:line="330" w:lineRule="exact"/>
        <w:ind w:firstLine="480" w:firstLineChars="200"/>
        <w:rPr>
          <w:rFonts w:ascii="Times New Roman" w:hAnsi="Times New Roman"/>
          <w:sz w:val="24"/>
          <w:szCs w:val="24"/>
        </w:rPr>
      </w:pPr>
      <w:r>
        <w:rPr>
          <w:rFonts w:hint="eastAsia" w:asciiTheme="minorEastAsia" w:hAnsiTheme="minorEastAsia" w:eastAsiaTheme="minorEastAsia"/>
          <w:sz w:val="24"/>
          <w:szCs w:val="24"/>
        </w:rPr>
        <w:t>3、</w:t>
      </w:r>
      <w:r>
        <w:rPr>
          <w:rFonts w:hint="eastAsia"/>
          <w:sz w:val="24"/>
        </w:rPr>
        <w:t>根据现场实际进场的数量，按实际租赁时间结算。因</w:t>
      </w:r>
      <w:r>
        <w:rPr>
          <w:sz w:val="24"/>
        </w:rPr>
        <w:t>国家法定节假日或其他原因现场未使用</w:t>
      </w:r>
      <w:r>
        <w:rPr>
          <w:rFonts w:hint="eastAsia"/>
          <w:sz w:val="24"/>
        </w:rPr>
        <w:t>，</w:t>
      </w:r>
      <w:r>
        <w:rPr>
          <w:rFonts w:ascii="黑体" w:hAnsi="黑体" w:eastAsia="黑体"/>
          <w:sz w:val="24"/>
        </w:rPr>
        <w:t>且</w:t>
      </w:r>
      <w:r>
        <w:rPr>
          <w:rFonts w:hint="eastAsia" w:ascii="黑体" w:hAnsi="黑体" w:eastAsia="黑体"/>
          <w:sz w:val="24"/>
        </w:rPr>
        <w:t>甲方</w:t>
      </w:r>
      <w:r>
        <w:rPr>
          <w:rFonts w:ascii="黑体" w:hAnsi="黑体" w:eastAsia="黑体"/>
          <w:sz w:val="24"/>
        </w:rPr>
        <w:t>予以书面报停的</w:t>
      </w:r>
      <w:r>
        <w:rPr>
          <w:rFonts w:hint="eastAsia"/>
          <w:sz w:val="24"/>
        </w:rPr>
        <w:t>，</w:t>
      </w:r>
      <w:r>
        <w:rPr>
          <w:sz w:val="24"/>
        </w:rPr>
        <w:t>不予计量租赁费</w:t>
      </w:r>
      <w:r>
        <w:rPr>
          <w:rFonts w:hint="eastAsia"/>
          <w:sz w:val="24"/>
        </w:rPr>
        <w:t>。</w:t>
      </w:r>
    </w:p>
    <w:p w14:paraId="21DC2780">
      <w:pPr>
        <w:snapToGrid w:val="0"/>
        <w:spacing w:line="330" w:lineRule="exact"/>
        <w:ind w:firstLine="480" w:firstLineChars="200"/>
        <w:rPr>
          <w:rFonts w:ascii="Times New Roman" w:hAnsi="Times New Roman" w:eastAsia="黑体"/>
          <w:sz w:val="24"/>
          <w:szCs w:val="24"/>
        </w:rPr>
      </w:pPr>
      <w:r>
        <w:rPr>
          <w:rFonts w:ascii="Times New Roman" w:hAnsi="Times New Roman" w:eastAsia="黑体"/>
          <w:sz w:val="24"/>
          <w:szCs w:val="24"/>
        </w:rPr>
        <w:t>第四条：租赁方式及所有权</w:t>
      </w:r>
    </w:p>
    <w:p w14:paraId="60E59A3D">
      <w:pPr>
        <w:snapToGrid w:val="0"/>
        <w:spacing w:line="33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1、租赁方式：整机租赁</w:t>
      </w:r>
      <w:r>
        <w:rPr>
          <w:rFonts w:hint="eastAsia" w:asciiTheme="minorEastAsia" w:hAnsiTheme="minorEastAsia" w:eastAsiaTheme="minorEastAsia"/>
          <w:sz w:val="24"/>
          <w:szCs w:val="24"/>
        </w:rPr>
        <w:t>（每台旋挖机配1台挖机、1台吊车、以及满足施工所需的钻杆、钻头等）</w:t>
      </w:r>
      <w:r>
        <w:rPr>
          <w:rFonts w:asciiTheme="minorEastAsia" w:hAnsiTheme="minorEastAsia" w:eastAsiaTheme="minorEastAsia"/>
          <w:sz w:val="24"/>
          <w:szCs w:val="24"/>
        </w:rPr>
        <w:t>。</w:t>
      </w:r>
    </w:p>
    <w:p w14:paraId="427E50EF">
      <w:pPr>
        <w:snapToGrid w:val="0"/>
        <w:spacing w:line="33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2、租赁设备的所有权：合同所列租赁设备的所有权属于乙方，甲方对租赁</w:t>
      </w:r>
      <w:r>
        <w:rPr>
          <w:rFonts w:hint="eastAsia" w:asciiTheme="minorEastAsia" w:hAnsiTheme="minorEastAsia" w:eastAsiaTheme="minorEastAsia"/>
          <w:sz w:val="24"/>
          <w:szCs w:val="24"/>
        </w:rPr>
        <w:t>设备</w:t>
      </w:r>
      <w:r>
        <w:rPr>
          <w:rFonts w:asciiTheme="minorEastAsia" w:hAnsiTheme="minorEastAsia" w:eastAsiaTheme="minorEastAsia"/>
          <w:sz w:val="24"/>
          <w:szCs w:val="24"/>
        </w:rPr>
        <w:t>只享有租赁期间的使用权，没有设备的所有权。</w:t>
      </w:r>
    </w:p>
    <w:p w14:paraId="7B83F945">
      <w:pPr>
        <w:snapToGrid w:val="0"/>
        <w:spacing w:line="33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3、未经乙方同意，甲方不得在设备上随意增加或减少部件，也不得以任何理由对设备进行抵押。</w:t>
      </w:r>
    </w:p>
    <w:p w14:paraId="3496294F">
      <w:pPr>
        <w:snapToGrid w:val="0"/>
        <w:spacing w:line="330" w:lineRule="exact"/>
        <w:ind w:firstLine="480" w:firstLineChars="200"/>
        <w:rPr>
          <w:rFonts w:ascii="Times New Roman" w:hAnsi="Times New Roman" w:eastAsia="黑体"/>
          <w:sz w:val="24"/>
          <w:szCs w:val="24"/>
        </w:rPr>
      </w:pPr>
      <w:r>
        <w:rPr>
          <w:rFonts w:ascii="Times New Roman" w:hAnsi="Times New Roman" w:eastAsia="黑体"/>
          <w:sz w:val="24"/>
          <w:szCs w:val="24"/>
        </w:rPr>
        <w:t>第五条：租赁价格</w:t>
      </w:r>
    </w:p>
    <w:p w14:paraId="54F331FD">
      <w:pPr>
        <w:snapToGrid w:val="0"/>
        <w:spacing w:line="330" w:lineRule="exact"/>
        <w:ind w:firstLine="480" w:firstLineChars="200"/>
        <w:rPr>
          <w:rFonts w:ascii="Times New Roman"/>
          <w:sz w:val="24"/>
          <w:szCs w:val="24"/>
        </w:rPr>
      </w:pPr>
      <w:r>
        <w:rPr>
          <w:rFonts w:ascii="Times New Roman" w:hAnsi="Times New Roman"/>
          <w:sz w:val="24"/>
          <w:szCs w:val="24"/>
        </w:rPr>
        <w:t>1</w:t>
      </w:r>
      <w:r>
        <w:rPr>
          <w:rFonts w:ascii="Times New Roman"/>
          <w:sz w:val="24"/>
          <w:szCs w:val="24"/>
        </w:rPr>
        <w:t>、租赁价格：本设备租赁费用如下：</w:t>
      </w:r>
    </w:p>
    <w:tbl>
      <w:tblPr>
        <w:tblStyle w:val="13"/>
        <w:tblpPr w:leftFromText="180" w:rightFromText="180" w:vertAnchor="text" w:tblpXSpec="center" w:tblpY="1"/>
        <w:tblOverlap w:val="never"/>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16"/>
        <w:gridCol w:w="1116"/>
        <w:gridCol w:w="1116"/>
        <w:gridCol w:w="1116"/>
        <w:gridCol w:w="1356"/>
        <w:gridCol w:w="1352"/>
        <w:gridCol w:w="1596"/>
        <w:gridCol w:w="928"/>
      </w:tblGrid>
      <w:tr w14:paraId="534C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Merge w:val="restart"/>
            <w:vAlign w:val="center"/>
          </w:tcPr>
          <w:p w14:paraId="69C596BD">
            <w:pPr>
              <w:snapToGrid w:val="0"/>
              <w:jc w:val="center"/>
              <w:rPr>
                <w:rFonts w:ascii="Times New Roman" w:hAnsi="Times New Roman"/>
                <w:sz w:val="24"/>
                <w:szCs w:val="24"/>
              </w:rPr>
            </w:pPr>
            <w:r>
              <w:rPr>
                <w:rFonts w:hint="eastAsia" w:ascii="Times New Roman" w:hAnsi="Times New Roman"/>
                <w:sz w:val="24"/>
                <w:szCs w:val="24"/>
              </w:rPr>
              <w:t>序</w:t>
            </w:r>
          </w:p>
          <w:p w14:paraId="7E127046">
            <w:pPr>
              <w:snapToGrid w:val="0"/>
              <w:jc w:val="center"/>
              <w:rPr>
                <w:rFonts w:ascii="Times New Roman" w:hAnsi="Times New Roman"/>
                <w:sz w:val="24"/>
                <w:szCs w:val="24"/>
              </w:rPr>
            </w:pPr>
            <w:r>
              <w:rPr>
                <w:rFonts w:hint="eastAsia" w:ascii="Times New Roman" w:hAnsi="Times New Roman"/>
                <w:sz w:val="24"/>
                <w:szCs w:val="24"/>
              </w:rPr>
              <w:t>号</w:t>
            </w:r>
          </w:p>
        </w:tc>
        <w:tc>
          <w:tcPr>
            <w:tcW w:w="1116" w:type="dxa"/>
            <w:vMerge w:val="restart"/>
            <w:vAlign w:val="center"/>
          </w:tcPr>
          <w:p w14:paraId="1CECC68E">
            <w:pPr>
              <w:widowControl/>
              <w:jc w:val="center"/>
              <w:rPr>
                <w:rFonts w:ascii="Times New Roman" w:hAnsi="Times New Roman"/>
                <w:kern w:val="0"/>
                <w:sz w:val="24"/>
                <w:szCs w:val="24"/>
              </w:rPr>
            </w:pPr>
            <w:r>
              <w:rPr>
                <w:rFonts w:ascii="Times New Roman" w:hAnsi="Times New Roman"/>
                <w:kern w:val="0"/>
                <w:sz w:val="24"/>
                <w:szCs w:val="24"/>
              </w:rPr>
              <w:t>设备</w:t>
            </w:r>
          </w:p>
          <w:p w14:paraId="52600165">
            <w:pPr>
              <w:widowControl/>
              <w:jc w:val="center"/>
              <w:rPr>
                <w:rFonts w:ascii="Times New Roman" w:hAnsi="Times New Roman"/>
                <w:kern w:val="0"/>
                <w:sz w:val="24"/>
                <w:szCs w:val="24"/>
              </w:rPr>
            </w:pPr>
            <w:r>
              <w:rPr>
                <w:rFonts w:ascii="Times New Roman" w:hAnsi="Times New Roman"/>
                <w:kern w:val="0"/>
                <w:sz w:val="24"/>
                <w:szCs w:val="24"/>
              </w:rPr>
              <w:t>名称</w:t>
            </w:r>
          </w:p>
        </w:tc>
        <w:tc>
          <w:tcPr>
            <w:tcW w:w="1116" w:type="dxa"/>
            <w:vMerge w:val="restart"/>
            <w:vAlign w:val="center"/>
          </w:tcPr>
          <w:p w14:paraId="65DD6CEB">
            <w:pPr>
              <w:widowControl/>
              <w:jc w:val="center"/>
              <w:rPr>
                <w:rFonts w:ascii="Times New Roman" w:hAnsi="Times New Roman"/>
                <w:sz w:val="24"/>
                <w:szCs w:val="24"/>
              </w:rPr>
            </w:pPr>
            <w:r>
              <w:rPr>
                <w:rFonts w:ascii="Times New Roman"/>
                <w:sz w:val="24"/>
                <w:szCs w:val="24"/>
              </w:rPr>
              <w:t>规格</w:t>
            </w:r>
          </w:p>
          <w:p w14:paraId="3E643E40">
            <w:pPr>
              <w:widowControl/>
              <w:jc w:val="center"/>
              <w:rPr>
                <w:rFonts w:ascii="Times New Roman" w:hAnsi="Times New Roman"/>
                <w:kern w:val="0"/>
                <w:sz w:val="24"/>
                <w:szCs w:val="24"/>
              </w:rPr>
            </w:pPr>
            <w:r>
              <w:rPr>
                <w:rFonts w:ascii="Times New Roman"/>
                <w:sz w:val="24"/>
                <w:szCs w:val="24"/>
              </w:rPr>
              <w:t>型号</w:t>
            </w:r>
          </w:p>
        </w:tc>
        <w:tc>
          <w:tcPr>
            <w:tcW w:w="1116" w:type="dxa"/>
            <w:vMerge w:val="restart"/>
            <w:vAlign w:val="center"/>
          </w:tcPr>
          <w:p w14:paraId="086B0DD0">
            <w:pPr>
              <w:snapToGrid w:val="0"/>
              <w:jc w:val="center"/>
              <w:rPr>
                <w:rFonts w:ascii="Times New Roman" w:hAnsi="Times New Roman"/>
                <w:kern w:val="0"/>
                <w:sz w:val="24"/>
                <w:szCs w:val="24"/>
              </w:rPr>
            </w:pPr>
            <w:r>
              <w:rPr>
                <w:rFonts w:hint="eastAsia" w:ascii="Times New Roman" w:hAnsi="Times New Roman"/>
                <w:kern w:val="0"/>
                <w:sz w:val="24"/>
                <w:szCs w:val="24"/>
              </w:rPr>
              <w:t>暂定</w:t>
            </w:r>
            <w:r>
              <w:rPr>
                <w:rFonts w:ascii="Times New Roman" w:hAnsi="Times New Roman"/>
                <w:kern w:val="0"/>
                <w:sz w:val="24"/>
                <w:szCs w:val="24"/>
              </w:rPr>
              <w:t>租</w:t>
            </w:r>
          </w:p>
          <w:p w14:paraId="24739178">
            <w:pPr>
              <w:widowControl/>
              <w:jc w:val="center"/>
              <w:rPr>
                <w:rFonts w:ascii="Times New Roman" w:hAnsi="Times New Roman"/>
                <w:kern w:val="0"/>
                <w:sz w:val="24"/>
                <w:szCs w:val="24"/>
              </w:rPr>
            </w:pPr>
            <w:r>
              <w:rPr>
                <w:rFonts w:ascii="Times New Roman" w:hAnsi="Times New Roman"/>
                <w:kern w:val="0"/>
                <w:sz w:val="24"/>
                <w:szCs w:val="24"/>
              </w:rPr>
              <w:t>赁数量</w:t>
            </w:r>
          </w:p>
        </w:tc>
        <w:tc>
          <w:tcPr>
            <w:tcW w:w="1116" w:type="dxa"/>
            <w:vMerge w:val="restart"/>
            <w:vAlign w:val="center"/>
          </w:tcPr>
          <w:p w14:paraId="5CF52141">
            <w:pPr>
              <w:widowControl/>
              <w:jc w:val="center"/>
              <w:rPr>
                <w:rFonts w:ascii="Times New Roman" w:hAnsi="Times New Roman"/>
                <w:kern w:val="0"/>
                <w:sz w:val="24"/>
                <w:szCs w:val="24"/>
              </w:rPr>
            </w:pPr>
            <w:r>
              <w:rPr>
                <w:rFonts w:ascii="Times New Roman" w:hAnsi="Times New Roman"/>
                <w:kern w:val="0"/>
                <w:sz w:val="24"/>
                <w:szCs w:val="24"/>
              </w:rPr>
              <w:t>单</w:t>
            </w:r>
          </w:p>
          <w:p w14:paraId="41D2FDA7">
            <w:pPr>
              <w:widowControl/>
              <w:jc w:val="center"/>
              <w:rPr>
                <w:rFonts w:ascii="Times New Roman" w:hAnsi="Times New Roman"/>
                <w:kern w:val="0"/>
                <w:sz w:val="24"/>
                <w:szCs w:val="24"/>
              </w:rPr>
            </w:pPr>
            <w:r>
              <w:rPr>
                <w:rFonts w:ascii="Times New Roman" w:hAnsi="Times New Roman"/>
                <w:kern w:val="0"/>
                <w:sz w:val="24"/>
                <w:szCs w:val="24"/>
              </w:rPr>
              <w:t>位</w:t>
            </w:r>
          </w:p>
        </w:tc>
        <w:tc>
          <w:tcPr>
            <w:tcW w:w="1356" w:type="dxa"/>
            <w:vMerge w:val="restart"/>
            <w:vAlign w:val="center"/>
          </w:tcPr>
          <w:p w14:paraId="6625AC79">
            <w:pPr>
              <w:widowControl/>
              <w:jc w:val="center"/>
              <w:rPr>
                <w:rFonts w:ascii="Times New Roman"/>
                <w:sz w:val="24"/>
                <w:szCs w:val="24"/>
              </w:rPr>
            </w:pPr>
            <w:r>
              <w:rPr>
                <w:rFonts w:hint="eastAsia" w:ascii="Times New Roman"/>
                <w:sz w:val="24"/>
                <w:szCs w:val="24"/>
              </w:rPr>
              <w:t>暂定</w:t>
            </w:r>
          </w:p>
          <w:p w14:paraId="41CA906F">
            <w:pPr>
              <w:widowControl/>
              <w:jc w:val="center"/>
              <w:rPr>
                <w:rFonts w:ascii="Times New Roman" w:hAnsi="Times New Roman"/>
                <w:kern w:val="0"/>
                <w:sz w:val="24"/>
                <w:szCs w:val="24"/>
              </w:rPr>
            </w:pPr>
            <w:r>
              <w:rPr>
                <w:rFonts w:hint="eastAsia" w:ascii="Times New Roman"/>
                <w:sz w:val="24"/>
                <w:szCs w:val="24"/>
              </w:rPr>
              <w:t>租赁时间</w:t>
            </w:r>
          </w:p>
        </w:tc>
        <w:tc>
          <w:tcPr>
            <w:tcW w:w="2948" w:type="dxa"/>
            <w:gridSpan w:val="2"/>
            <w:tcBorders>
              <w:bottom w:val="single" w:color="auto" w:sz="6" w:space="0"/>
              <w:right w:val="single" w:color="auto" w:sz="6" w:space="0"/>
            </w:tcBorders>
            <w:vAlign w:val="center"/>
          </w:tcPr>
          <w:p w14:paraId="717FC512">
            <w:pPr>
              <w:snapToGrid w:val="0"/>
              <w:jc w:val="center"/>
              <w:rPr>
                <w:rFonts w:ascii="Times New Roman" w:hAnsi="Times New Roman"/>
                <w:sz w:val="24"/>
                <w:szCs w:val="24"/>
              </w:rPr>
            </w:pPr>
            <w:r>
              <w:rPr>
                <w:rFonts w:ascii="Times New Roman" w:hAnsi="Times New Roman"/>
                <w:kern w:val="0"/>
                <w:sz w:val="24"/>
                <w:szCs w:val="24"/>
              </w:rPr>
              <w:t>含税租赁费用</w:t>
            </w:r>
            <w:r>
              <w:rPr>
                <w:rFonts w:hint="eastAsia" w:ascii="Times New Roman" w:hAnsi="Times New Roman"/>
                <w:kern w:val="0"/>
                <w:sz w:val="24"/>
                <w:szCs w:val="24"/>
              </w:rPr>
              <w:t>（</w:t>
            </w:r>
            <w:r>
              <w:rPr>
                <w:rFonts w:ascii="Times New Roman" w:hAnsi="Times New Roman"/>
                <w:kern w:val="0"/>
                <w:sz w:val="24"/>
                <w:szCs w:val="24"/>
              </w:rPr>
              <w:t>元</w:t>
            </w:r>
            <w:r>
              <w:rPr>
                <w:rFonts w:hint="eastAsia" w:ascii="Times New Roman" w:hAnsi="Times New Roman"/>
                <w:kern w:val="0"/>
                <w:sz w:val="24"/>
                <w:szCs w:val="24"/>
              </w:rPr>
              <w:t>）</w:t>
            </w:r>
          </w:p>
        </w:tc>
        <w:tc>
          <w:tcPr>
            <w:tcW w:w="928" w:type="dxa"/>
            <w:vMerge w:val="restart"/>
            <w:tcBorders>
              <w:left w:val="single" w:color="auto" w:sz="6" w:space="0"/>
            </w:tcBorders>
            <w:vAlign w:val="center"/>
          </w:tcPr>
          <w:p w14:paraId="43A46BCE">
            <w:pPr>
              <w:snapToGrid w:val="0"/>
              <w:jc w:val="center"/>
              <w:rPr>
                <w:rFonts w:ascii="Times New Roman" w:hAnsi="Times New Roman"/>
                <w:sz w:val="24"/>
                <w:szCs w:val="24"/>
              </w:rPr>
            </w:pPr>
            <w:r>
              <w:rPr>
                <w:rFonts w:ascii="Times New Roman" w:hAnsi="Times New Roman"/>
                <w:kern w:val="0"/>
                <w:sz w:val="24"/>
                <w:szCs w:val="24"/>
              </w:rPr>
              <w:t>备注</w:t>
            </w:r>
          </w:p>
        </w:tc>
      </w:tr>
      <w:tr w14:paraId="27F0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Merge w:val="continue"/>
            <w:vAlign w:val="center"/>
          </w:tcPr>
          <w:p w14:paraId="0D79750F">
            <w:pPr>
              <w:snapToGrid w:val="0"/>
              <w:jc w:val="center"/>
              <w:rPr>
                <w:rFonts w:ascii="Times New Roman" w:hAnsi="Times New Roman"/>
                <w:sz w:val="24"/>
                <w:szCs w:val="24"/>
              </w:rPr>
            </w:pPr>
          </w:p>
        </w:tc>
        <w:tc>
          <w:tcPr>
            <w:tcW w:w="1116" w:type="dxa"/>
            <w:vMerge w:val="continue"/>
            <w:vAlign w:val="center"/>
          </w:tcPr>
          <w:p w14:paraId="3373ABED">
            <w:pPr>
              <w:widowControl/>
              <w:jc w:val="center"/>
              <w:rPr>
                <w:rFonts w:ascii="Times New Roman" w:hAnsi="Times New Roman"/>
                <w:kern w:val="0"/>
                <w:sz w:val="24"/>
                <w:szCs w:val="24"/>
              </w:rPr>
            </w:pPr>
          </w:p>
        </w:tc>
        <w:tc>
          <w:tcPr>
            <w:tcW w:w="1116" w:type="dxa"/>
            <w:vMerge w:val="continue"/>
            <w:vAlign w:val="center"/>
          </w:tcPr>
          <w:p w14:paraId="46774F59">
            <w:pPr>
              <w:widowControl/>
              <w:jc w:val="center"/>
              <w:rPr>
                <w:rFonts w:ascii="Times New Roman"/>
                <w:sz w:val="24"/>
                <w:szCs w:val="24"/>
              </w:rPr>
            </w:pPr>
          </w:p>
        </w:tc>
        <w:tc>
          <w:tcPr>
            <w:tcW w:w="1116" w:type="dxa"/>
            <w:vMerge w:val="continue"/>
            <w:vAlign w:val="center"/>
          </w:tcPr>
          <w:p w14:paraId="09207A94">
            <w:pPr>
              <w:snapToGrid w:val="0"/>
              <w:jc w:val="center"/>
              <w:rPr>
                <w:rFonts w:ascii="Times New Roman" w:hAnsi="Times New Roman"/>
                <w:sz w:val="24"/>
                <w:szCs w:val="24"/>
              </w:rPr>
            </w:pPr>
          </w:p>
        </w:tc>
        <w:tc>
          <w:tcPr>
            <w:tcW w:w="1116" w:type="dxa"/>
            <w:vMerge w:val="continue"/>
            <w:vAlign w:val="center"/>
          </w:tcPr>
          <w:p w14:paraId="20518BBC">
            <w:pPr>
              <w:snapToGrid w:val="0"/>
              <w:jc w:val="center"/>
              <w:rPr>
                <w:rFonts w:ascii="Times New Roman" w:hAnsi="Times New Roman"/>
                <w:sz w:val="24"/>
                <w:szCs w:val="24"/>
              </w:rPr>
            </w:pPr>
          </w:p>
        </w:tc>
        <w:tc>
          <w:tcPr>
            <w:tcW w:w="1356" w:type="dxa"/>
            <w:vMerge w:val="continue"/>
            <w:vAlign w:val="center"/>
          </w:tcPr>
          <w:p w14:paraId="4299D3ED">
            <w:pPr>
              <w:snapToGrid w:val="0"/>
              <w:jc w:val="center"/>
              <w:rPr>
                <w:rFonts w:ascii="Times New Roman" w:hAnsi="Times New Roman"/>
                <w:sz w:val="24"/>
                <w:szCs w:val="24"/>
              </w:rPr>
            </w:pPr>
          </w:p>
        </w:tc>
        <w:tc>
          <w:tcPr>
            <w:tcW w:w="1352" w:type="dxa"/>
            <w:tcBorders>
              <w:top w:val="single" w:color="auto" w:sz="6" w:space="0"/>
            </w:tcBorders>
            <w:vAlign w:val="center"/>
          </w:tcPr>
          <w:p w14:paraId="237F5694">
            <w:pPr>
              <w:jc w:val="center"/>
              <w:rPr>
                <w:rFonts w:ascii="Times New Roman" w:hAnsi="Times New Roman"/>
                <w:kern w:val="0"/>
                <w:sz w:val="24"/>
                <w:szCs w:val="24"/>
              </w:rPr>
            </w:pPr>
            <w:r>
              <w:rPr>
                <w:rFonts w:ascii="Times New Roman" w:hAnsi="Times New Roman"/>
                <w:kern w:val="0"/>
                <w:sz w:val="24"/>
                <w:szCs w:val="24"/>
              </w:rPr>
              <w:t>单价</w:t>
            </w:r>
          </w:p>
        </w:tc>
        <w:tc>
          <w:tcPr>
            <w:tcW w:w="1596" w:type="dxa"/>
            <w:tcBorders>
              <w:top w:val="single" w:color="auto" w:sz="6" w:space="0"/>
              <w:right w:val="single" w:color="auto" w:sz="6" w:space="0"/>
            </w:tcBorders>
            <w:vAlign w:val="center"/>
          </w:tcPr>
          <w:p w14:paraId="501B47FC">
            <w:pPr>
              <w:snapToGrid w:val="0"/>
              <w:jc w:val="center"/>
              <w:rPr>
                <w:rFonts w:ascii="Times New Roman" w:hAnsi="Times New Roman"/>
                <w:sz w:val="24"/>
                <w:szCs w:val="24"/>
              </w:rPr>
            </w:pPr>
            <w:r>
              <w:rPr>
                <w:rFonts w:ascii="Times New Roman" w:hAnsi="Times New Roman"/>
                <w:kern w:val="0"/>
                <w:sz w:val="24"/>
                <w:szCs w:val="24"/>
              </w:rPr>
              <w:t>合价</w:t>
            </w:r>
          </w:p>
        </w:tc>
        <w:tc>
          <w:tcPr>
            <w:tcW w:w="928" w:type="dxa"/>
            <w:vMerge w:val="continue"/>
            <w:tcBorders>
              <w:left w:val="single" w:color="auto" w:sz="6" w:space="0"/>
            </w:tcBorders>
            <w:vAlign w:val="center"/>
          </w:tcPr>
          <w:p w14:paraId="7B92429B">
            <w:pPr>
              <w:snapToGrid w:val="0"/>
              <w:jc w:val="center"/>
              <w:rPr>
                <w:rFonts w:ascii="Times New Roman" w:hAnsi="Times New Roman"/>
                <w:sz w:val="24"/>
                <w:szCs w:val="24"/>
              </w:rPr>
            </w:pPr>
          </w:p>
        </w:tc>
      </w:tr>
      <w:tr w14:paraId="631E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70A41DF8">
            <w:pPr>
              <w:snapToGrid w:val="0"/>
              <w:jc w:val="center"/>
              <w:rPr>
                <w:rFonts w:ascii="黑体" w:hAnsi="黑体" w:eastAsia="黑体"/>
                <w:sz w:val="24"/>
                <w:szCs w:val="24"/>
              </w:rPr>
            </w:pPr>
          </w:p>
        </w:tc>
        <w:tc>
          <w:tcPr>
            <w:tcW w:w="1116" w:type="dxa"/>
            <w:vAlign w:val="center"/>
          </w:tcPr>
          <w:p w14:paraId="3E378204">
            <w:pPr>
              <w:widowControl/>
              <w:jc w:val="center"/>
              <w:rPr>
                <w:rFonts w:ascii="黑体" w:hAnsi="黑体" w:eastAsia="黑体"/>
                <w:sz w:val="24"/>
                <w:szCs w:val="24"/>
              </w:rPr>
            </w:pPr>
          </w:p>
        </w:tc>
        <w:tc>
          <w:tcPr>
            <w:tcW w:w="1116" w:type="dxa"/>
            <w:vAlign w:val="center"/>
          </w:tcPr>
          <w:p w14:paraId="3136E53C">
            <w:pPr>
              <w:widowControl/>
              <w:jc w:val="center"/>
              <w:rPr>
                <w:rFonts w:ascii="黑体" w:hAnsi="黑体" w:eastAsia="黑体"/>
                <w:sz w:val="24"/>
                <w:szCs w:val="24"/>
              </w:rPr>
            </w:pPr>
          </w:p>
        </w:tc>
        <w:tc>
          <w:tcPr>
            <w:tcW w:w="1116" w:type="dxa"/>
            <w:vAlign w:val="center"/>
          </w:tcPr>
          <w:p w14:paraId="0ED2004A">
            <w:pPr>
              <w:widowControl/>
              <w:jc w:val="center"/>
              <w:rPr>
                <w:rFonts w:ascii="黑体" w:hAnsi="黑体" w:eastAsia="黑体"/>
                <w:sz w:val="24"/>
                <w:szCs w:val="24"/>
              </w:rPr>
            </w:pPr>
          </w:p>
        </w:tc>
        <w:tc>
          <w:tcPr>
            <w:tcW w:w="1116" w:type="dxa"/>
            <w:vAlign w:val="center"/>
          </w:tcPr>
          <w:p w14:paraId="07609F71">
            <w:pPr>
              <w:widowControl/>
              <w:jc w:val="center"/>
              <w:rPr>
                <w:rFonts w:ascii="黑体" w:hAnsi="黑体" w:eastAsia="黑体"/>
                <w:sz w:val="24"/>
                <w:szCs w:val="24"/>
              </w:rPr>
            </w:pPr>
          </w:p>
        </w:tc>
        <w:tc>
          <w:tcPr>
            <w:tcW w:w="1356" w:type="dxa"/>
            <w:vAlign w:val="center"/>
          </w:tcPr>
          <w:p w14:paraId="42BEB2DC">
            <w:pPr>
              <w:widowControl/>
              <w:jc w:val="center"/>
              <w:rPr>
                <w:rFonts w:ascii="黑体" w:hAnsi="黑体" w:eastAsia="黑体"/>
                <w:sz w:val="24"/>
                <w:szCs w:val="24"/>
              </w:rPr>
            </w:pPr>
          </w:p>
        </w:tc>
        <w:tc>
          <w:tcPr>
            <w:tcW w:w="1352" w:type="dxa"/>
            <w:vAlign w:val="center"/>
          </w:tcPr>
          <w:p w14:paraId="43A77A24">
            <w:pPr>
              <w:snapToGrid w:val="0"/>
              <w:jc w:val="right"/>
              <w:rPr>
                <w:rFonts w:ascii="黑体" w:hAnsi="黑体" w:eastAsia="黑体"/>
                <w:sz w:val="24"/>
                <w:szCs w:val="24"/>
              </w:rPr>
            </w:pPr>
          </w:p>
        </w:tc>
        <w:tc>
          <w:tcPr>
            <w:tcW w:w="1596" w:type="dxa"/>
            <w:tcBorders>
              <w:right w:val="single" w:color="auto" w:sz="6" w:space="0"/>
            </w:tcBorders>
            <w:vAlign w:val="center"/>
          </w:tcPr>
          <w:p w14:paraId="61858CE8">
            <w:pPr>
              <w:snapToGrid w:val="0"/>
              <w:jc w:val="right"/>
              <w:rPr>
                <w:rFonts w:ascii="黑体" w:hAnsi="黑体" w:eastAsia="黑体"/>
                <w:sz w:val="24"/>
                <w:szCs w:val="24"/>
              </w:rPr>
            </w:pPr>
          </w:p>
        </w:tc>
        <w:tc>
          <w:tcPr>
            <w:tcW w:w="928" w:type="dxa"/>
            <w:tcBorders>
              <w:left w:val="single" w:color="auto" w:sz="6" w:space="0"/>
            </w:tcBorders>
            <w:vAlign w:val="center"/>
          </w:tcPr>
          <w:p w14:paraId="06E93FA9">
            <w:pPr>
              <w:snapToGrid w:val="0"/>
              <w:jc w:val="center"/>
              <w:rPr>
                <w:rFonts w:ascii="黑体" w:hAnsi="黑体" w:eastAsia="黑体"/>
                <w:sz w:val="24"/>
                <w:szCs w:val="24"/>
              </w:rPr>
            </w:pPr>
          </w:p>
        </w:tc>
      </w:tr>
      <w:tr w14:paraId="2566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6C41A561">
            <w:pPr>
              <w:snapToGrid w:val="0"/>
              <w:jc w:val="center"/>
              <w:rPr>
                <w:rFonts w:ascii="黑体" w:hAnsi="黑体" w:eastAsia="黑体"/>
                <w:sz w:val="24"/>
                <w:szCs w:val="24"/>
              </w:rPr>
            </w:pPr>
          </w:p>
        </w:tc>
        <w:tc>
          <w:tcPr>
            <w:tcW w:w="1116" w:type="dxa"/>
            <w:vAlign w:val="center"/>
          </w:tcPr>
          <w:p w14:paraId="29EE0786">
            <w:pPr>
              <w:widowControl/>
              <w:jc w:val="center"/>
              <w:rPr>
                <w:rFonts w:ascii="黑体" w:hAnsi="黑体" w:eastAsia="黑体"/>
                <w:sz w:val="24"/>
                <w:szCs w:val="24"/>
              </w:rPr>
            </w:pPr>
          </w:p>
        </w:tc>
        <w:tc>
          <w:tcPr>
            <w:tcW w:w="1116" w:type="dxa"/>
            <w:vAlign w:val="center"/>
          </w:tcPr>
          <w:p w14:paraId="4CA4796C">
            <w:pPr>
              <w:widowControl/>
              <w:jc w:val="center"/>
              <w:rPr>
                <w:rFonts w:ascii="黑体" w:hAnsi="黑体" w:eastAsia="黑体"/>
                <w:sz w:val="24"/>
                <w:szCs w:val="24"/>
              </w:rPr>
            </w:pPr>
          </w:p>
        </w:tc>
        <w:tc>
          <w:tcPr>
            <w:tcW w:w="1116" w:type="dxa"/>
            <w:vAlign w:val="center"/>
          </w:tcPr>
          <w:p w14:paraId="02B79B65">
            <w:pPr>
              <w:widowControl/>
              <w:jc w:val="center"/>
              <w:rPr>
                <w:rFonts w:ascii="黑体" w:hAnsi="黑体" w:eastAsia="黑体"/>
                <w:sz w:val="24"/>
                <w:szCs w:val="24"/>
              </w:rPr>
            </w:pPr>
          </w:p>
        </w:tc>
        <w:tc>
          <w:tcPr>
            <w:tcW w:w="1116" w:type="dxa"/>
            <w:vAlign w:val="center"/>
          </w:tcPr>
          <w:p w14:paraId="052D9CED">
            <w:pPr>
              <w:widowControl/>
              <w:jc w:val="center"/>
              <w:rPr>
                <w:rFonts w:ascii="黑体" w:hAnsi="黑体" w:eastAsia="黑体"/>
                <w:sz w:val="24"/>
                <w:szCs w:val="24"/>
              </w:rPr>
            </w:pPr>
          </w:p>
        </w:tc>
        <w:tc>
          <w:tcPr>
            <w:tcW w:w="1356" w:type="dxa"/>
            <w:vAlign w:val="center"/>
          </w:tcPr>
          <w:p w14:paraId="461EA5F7">
            <w:pPr>
              <w:widowControl/>
              <w:jc w:val="center"/>
              <w:rPr>
                <w:rFonts w:ascii="黑体" w:hAnsi="黑体" w:eastAsia="黑体"/>
                <w:sz w:val="24"/>
                <w:szCs w:val="24"/>
              </w:rPr>
            </w:pPr>
          </w:p>
        </w:tc>
        <w:tc>
          <w:tcPr>
            <w:tcW w:w="1352" w:type="dxa"/>
            <w:vAlign w:val="center"/>
          </w:tcPr>
          <w:p w14:paraId="2234C25F">
            <w:pPr>
              <w:snapToGrid w:val="0"/>
              <w:jc w:val="right"/>
              <w:rPr>
                <w:rFonts w:ascii="黑体" w:hAnsi="黑体" w:eastAsia="黑体"/>
                <w:sz w:val="24"/>
                <w:szCs w:val="24"/>
              </w:rPr>
            </w:pPr>
          </w:p>
        </w:tc>
        <w:tc>
          <w:tcPr>
            <w:tcW w:w="1596" w:type="dxa"/>
            <w:tcBorders>
              <w:right w:val="single" w:color="auto" w:sz="6" w:space="0"/>
            </w:tcBorders>
            <w:vAlign w:val="center"/>
          </w:tcPr>
          <w:p w14:paraId="0E477257">
            <w:pPr>
              <w:snapToGrid w:val="0"/>
              <w:jc w:val="right"/>
              <w:rPr>
                <w:rFonts w:ascii="黑体" w:hAnsi="黑体" w:eastAsia="黑体"/>
                <w:sz w:val="24"/>
                <w:szCs w:val="24"/>
              </w:rPr>
            </w:pPr>
          </w:p>
        </w:tc>
        <w:tc>
          <w:tcPr>
            <w:tcW w:w="928" w:type="dxa"/>
            <w:tcBorders>
              <w:left w:val="single" w:color="auto" w:sz="6" w:space="0"/>
            </w:tcBorders>
            <w:vAlign w:val="center"/>
          </w:tcPr>
          <w:p w14:paraId="0038AEB3">
            <w:pPr>
              <w:snapToGrid w:val="0"/>
              <w:jc w:val="center"/>
              <w:rPr>
                <w:rFonts w:ascii="黑体" w:hAnsi="黑体" w:eastAsia="黑体"/>
                <w:sz w:val="24"/>
                <w:szCs w:val="24"/>
              </w:rPr>
            </w:pPr>
          </w:p>
        </w:tc>
      </w:tr>
      <w:tr w14:paraId="719C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084AE564">
            <w:pPr>
              <w:snapToGrid w:val="0"/>
              <w:jc w:val="center"/>
              <w:rPr>
                <w:rFonts w:ascii="黑体" w:hAnsi="黑体" w:eastAsia="黑体"/>
                <w:sz w:val="24"/>
                <w:szCs w:val="24"/>
              </w:rPr>
            </w:pPr>
          </w:p>
        </w:tc>
        <w:tc>
          <w:tcPr>
            <w:tcW w:w="1116" w:type="dxa"/>
            <w:vAlign w:val="center"/>
          </w:tcPr>
          <w:p w14:paraId="6335B1B2">
            <w:pPr>
              <w:widowControl/>
              <w:jc w:val="center"/>
              <w:rPr>
                <w:rFonts w:ascii="黑体" w:hAnsi="黑体" w:eastAsia="黑体"/>
                <w:sz w:val="24"/>
                <w:szCs w:val="24"/>
              </w:rPr>
            </w:pPr>
          </w:p>
        </w:tc>
        <w:tc>
          <w:tcPr>
            <w:tcW w:w="1116" w:type="dxa"/>
            <w:vAlign w:val="center"/>
          </w:tcPr>
          <w:p w14:paraId="32128A6D">
            <w:pPr>
              <w:widowControl/>
              <w:jc w:val="center"/>
              <w:rPr>
                <w:rFonts w:ascii="黑体" w:hAnsi="黑体" w:eastAsia="黑体"/>
                <w:sz w:val="24"/>
                <w:szCs w:val="24"/>
              </w:rPr>
            </w:pPr>
          </w:p>
        </w:tc>
        <w:tc>
          <w:tcPr>
            <w:tcW w:w="1116" w:type="dxa"/>
            <w:vAlign w:val="center"/>
          </w:tcPr>
          <w:p w14:paraId="480D184F">
            <w:pPr>
              <w:widowControl/>
              <w:jc w:val="center"/>
              <w:rPr>
                <w:rFonts w:ascii="黑体" w:hAnsi="黑体" w:eastAsia="黑体"/>
                <w:sz w:val="24"/>
                <w:szCs w:val="24"/>
              </w:rPr>
            </w:pPr>
          </w:p>
        </w:tc>
        <w:tc>
          <w:tcPr>
            <w:tcW w:w="1116" w:type="dxa"/>
            <w:vAlign w:val="center"/>
          </w:tcPr>
          <w:p w14:paraId="03707DE0">
            <w:pPr>
              <w:widowControl/>
              <w:jc w:val="center"/>
              <w:rPr>
                <w:rFonts w:ascii="黑体" w:hAnsi="黑体" w:eastAsia="黑体"/>
                <w:sz w:val="24"/>
                <w:szCs w:val="24"/>
              </w:rPr>
            </w:pPr>
          </w:p>
        </w:tc>
        <w:tc>
          <w:tcPr>
            <w:tcW w:w="1356" w:type="dxa"/>
            <w:vAlign w:val="center"/>
          </w:tcPr>
          <w:p w14:paraId="58C659AD">
            <w:pPr>
              <w:widowControl/>
              <w:jc w:val="center"/>
              <w:rPr>
                <w:rFonts w:ascii="黑体" w:hAnsi="黑体" w:eastAsia="黑体"/>
                <w:sz w:val="24"/>
                <w:szCs w:val="24"/>
              </w:rPr>
            </w:pPr>
          </w:p>
        </w:tc>
        <w:tc>
          <w:tcPr>
            <w:tcW w:w="1352" w:type="dxa"/>
            <w:vAlign w:val="center"/>
          </w:tcPr>
          <w:p w14:paraId="0867C3E0">
            <w:pPr>
              <w:snapToGrid w:val="0"/>
              <w:jc w:val="right"/>
              <w:rPr>
                <w:rFonts w:ascii="黑体" w:hAnsi="黑体" w:eastAsia="黑体"/>
                <w:sz w:val="24"/>
                <w:szCs w:val="24"/>
              </w:rPr>
            </w:pPr>
          </w:p>
        </w:tc>
        <w:tc>
          <w:tcPr>
            <w:tcW w:w="1596" w:type="dxa"/>
            <w:tcBorders>
              <w:right w:val="single" w:color="auto" w:sz="6" w:space="0"/>
            </w:tcBorders>
            <w:vAlign w:val="center"/>
          </w:tcPr>
          <w:p w14:paraId="69FB9432">
            <w:pPr>
              <w:snapToGrid w:val="0"/>
              <w:jc w:val="right"/>
              <w:rPr>
                <w:rFonts w:ascii="黑体" w:hAnsi="黑体" w:eastAsia="黑体"/>
                <w:sz w:val="24"/>
                <w:szCs w:val="24"/>
              </w:rPr>
            </w:pPr>
          </w:p>
        </w:tc>
        <w:tc>
          <w:tcPr>
            <w:tcW w:w="928" w:type="dxa"/>
            <w:tcBorders>
              <w:left w:val="single" w:color="auto" w:sz="6" w:space="0"/>
            </w:tcBorders>
            <w:vAlign w:val="center"/>
          </w:tcPr>
          <w:p w14:paraId="40DE2847">
            <w:pPr>
              <w:snapToGrid w:val="0"/>
              <w:jc w:val="center"/>
              <w:rPr>
                <w:rFonts w:ascii="黑体" w:hAnsi="黑体" w:eastAsia="黑体"/>
                <w:sz w:val="24"/>
                <w:szCs w:val="24"/>
              </w:rPr>
            </w:pPr>
          </w:p>
        </w:tc>
      </w:tr>
      <w:tr w14:paraId="1538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4" w:type="dxa"/>
            <w:vAlign w:val="center"/>
          </w:tcPr>
          <w:p w14:paraId="42D4745C">
            <w:pPr>
              <w:snapToGrid w:val="0"/>
              <w:jc w:val="center"/>
              <w:rPr>
                <w:rFonts w:ascii="黑体" w:hAnsi="黑体" w:eastAsia="黑体"/>
                <w:sz w:val="24"/>
                <w:szCs w:val="24"/>
              </w:rPr>
            </w:pPr>
            <w:r>
              <w:rPr>
                <w:rFonts w:hint="eastAsia" w:ascii="黑体" w:hAnsi="黑体" w:eastAsia="黑体"/>
                <w:sz w:val="24"/>
                <w:szCs w:val="24"/>
              </w:rPr>
              <w:t>4</w:t>
            </w:r>
          </w:p>
        </w:tc>
        <w:tc>
          <w:tcPr>
            <w:tcW w:w="9696" w:type="dxa"/>
            <w:gridSpan w:val="8"/>
            <w:vAlign w:val="center"/>
          </w:tcPr>
          <w:p w14:paraId="79660264">
            <w:pPr>
              <w:snapToGrid w:val="0"/>
              <w:jc w:val="left"/>
              <w:rPr>
                <w:rFonts w:ascii="黑体" w:hAnsi="黑体" w:eastAsia="黑体"/>
                <w:sz w:val="24"/>
                <w:szCs w:val="24"/>
              </w:rPr>
            </w:pPr>
            <w:r>
              <w:rPr>
                <w:rFonts w:ascii="黑体" w:hAnsi="黑体" w:eastAsia="黑体"/>
                <w:sz w:val="24"/>
                <w:szCs w:val="24"/>
              </w:rPr>
              <w:t>暂定含税租赁费总价：</w:t>
            </w:r>
          </w:p>
          <w:p w14:paraId="2714D316">
            <w:pPr>
              <w:snapToGrid w:val="0"/>
              <w:jc w:val="left"/>
              <w:rPr>
                <w:rFonts w:ascii="Times New Roman" w:hAnsi="Times New Roman"/>
                <w:sz w:val="24"/>
                <w:szCs w:val="24"/>
              </w:rPr>
            </w:pPr>
            <w:r>
              <w:rPr>
                <w:rFonts w:ascii="黑体" w:hAnsi="黑体" w:eastAsia="黑体"/>
                <w:sz w:val="24"/>
                <w:szCs w:val="24"/>
              </w:rPr>
              <w:t>其中不含税金额：</w:t>
            </w:r>
            <w:r>
              <w:rPr>
                <w:rFonts w:hint="eastAsia" w:ascii="黑体" w:hAnsi="黑体" w:eastAsia="黑体"/>
                <w:sz w:val="24"/>
                <w:szCs w:val="24"/>
                <w:lang w:val="en-US" w:eastAsia="zh-CN"/>
              </w:rPr>
              <w:t xml:space="preserve">      </w:t>
            </w:r>
            <w:r>
              <w:rPr>
                <w:rFonts w:ascii="黑体" w:hAnsi="黑体" w:eastAsia="黑体"/>
                <w:sz w:val="24"/>
                <w:szCs w:val="24"/>
              </w:rPr>
              <w:t>元，增值税税率：</w:t>
            </w:r>
            <w:r>
              <w:rPr>
                <w:rFonts w:hint="eastAsia" w:ascii="黑体" w:hAnsi="黑体" w:eastAsia="黑体"/>
                <w:sz w:val="24"/>
                <w:szCs w:val="24"/>
                <w:lang w:val="en-US" w:eastAsia="zh-CN"/>
              </w:rPr>
              <w:t xml:space="preserve">    </w:t>
            </w:r>
            <w:r>
              <w:rPr>
                <w:rFonts w:ascii="黑体" w:hAnsi="黑体" w:eastAsia="黑体"/>
                <w:sz w:val="24"/>
                <w:szCs w:val="24"/>
              </w:rPr>
              <w:t>，</w:t>
            </w:r>
            <w:r>
              <w:rPr>
                <w:rFonts w:hint="eastAsia" w:ascii="黑体" w:hAnsi="黑体" w:eastAsia="黑体"/>
                <w:sz w:val="24"/>
                <w:szCs w:val="24"/>
              </w:rPr>
              <w:t>增值税税额</w:t>
            </w:r>
            <w:r>
              <w:rPr>
                <w:rFonts w:ascii="黑体" w:hAnsi="黑体" w:eastAsia="黑体"/>
                <w:sz w:val="24"/>
                <w:szCs w:val="24"/>
              </w:rPr>
              <w:t>：</w:t>
            </w:r>
            <w:r>
              <w:rPr>
                <w:rFonts w:hint="eastAsia" w:ascii="黑体" w:hAnsi="黑体" w:eastAsia="黑体"/>
                <w:sz w:val="24"/>
                <w:szCs w:val="24"/>
                <w:lang w:val="en-US" w:eastAsia="zh-CN"/>
              </w:rPr>
              <w:t xml:space="preserve">     </w:t>
            </w:r>
            <w:r>
              <w:rPr>
                <w:rFonts w:ascii="黑体" w:hAnsi="黑体" w:eastAsia="黑体"/>
                <w:sz w:val="24"/>
                <w:szCs w:val="24"/>
              </w:rPr>
              <w:t>。</w:t>
            </w:r>
          </w:p>
        </w:tc>
      </w:tr>
    </w:tbl>
    <w:p w14:paraId="6DDDCD64">
      <w:pPr>
        <w:snapToGrid w:val="0"/>
        <w:spacing w:line="24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2、运费的承担：设备的进退场费用由</w:t>
      </w:r>
      <w:r>
        <w:rPr>
          <w:rFonts w:hint="eastAsia" w:asciiTheme="minorEastAsia" w:hAnsiTheme="minorEastAsia" w:eastAsiaTheme="minorEastAsia"/>
          <w:sz w:val="24"/>
          <w:szCs w:val="24"/>
        </w:rPr>
        <w:t>乙</w:t>
      </w:r>
      <w:r>
        <w:rPr>
          <w:rFonts w:asciiTheme="minorEastAsia" w:hAnsiTheme="minorEastAsia" w:eastAsiaTheme="minorEastAsia"/>
          <w:sz w:val="24"/>
          <w:szCs w:val="24"/>
        </w:rPr>
        <w:t>方承担</w:t>
      </w:r>
      <w:r>
        <w:rPr>
          <w:rFonts w:hint="eastAsia" w:ascii="Times New Roman"/>
          <w:sz w:val="24"/>
          <w:szCs w:val="24"/>
        </w:rPr>
        <w:t>，</w:t>
      </w:r>
      <w:r>
        <w:rPr>
          <w:rFonts w:ascii="Times New Roman"/>
          <w:sz w:val="24"/>
          <w:szCs w:val="24"/>
        </w:rPr>
        <w:t>甲方应在设备退场前五日内通知乙方</w:t>
      </w:r>
      <w:r>
        <w:rPr>
          <w:rFonts w:asciiTheme="minorEastAsia" w:hAnsiTheme="minorEastAsia" w:eastAsiaTheme="minorEastAsia"/>
          <w:sz w:val="24"/>
          <w:szCs w:val="24"/>
        </w:rPr>
        <w:t>。</w:t>
      </w:r>
    </w:p>
    <w:p w14:paraId="03BACD97">
      <w:pPr>
        <w:snapToGrid w:val="0"/>
        <w:spacing w:line="33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3、燃油提供：</w:t>
      </w:r>
      <w:r>
        <w:rPr>
          <w:rFonts w:hint="eastAsia" w:ascii="黑体" w:hAnsi="黑体" w:eastAsia="黑体"/>
          <w:sz w:val="24"/>
          <w:szCs w:val="24"/>
        </w:rPr>
        <w:t>乙</w:t>
      </w:r>
      <w:r>
        <w:rPr>
          <w:rFonts w:ascii="黑体" w:hAnsi="黑体" w:eastAsia="黑体"/>
          <w:sz w:val="24"/>
          <w:szCs w:val="24"/>
        </w:rPr>
        <w:t>方负责提供在租赁期间内设备运行所需的符合运行标准的燃油</w:t>
      </w:r>
      <w:r>
        <w:rPr>
          <w:rFonts w:ascii="Times New Roman"/>
          <w:sz w:val="24"/>
          <w:szCs w:val="24"/>
        </w:rPr>
        <w:t>，否则</w:t>
      </w:r>
      <w:r>
        <w:rPr>
          <w:rFonts w:asciiTheme="minorEastAsia" w:hAnsiTheme="minorEastAsia" w:eastAsiaTheme="minorEastAsia"/>
          <w:sz w:val="24"/>
          <w:szCs w:val="24"/>
        </w:rPr>
        <w:t>造成的停机损失由</w:t>
      </w:r>
      <w:r>
        <w:rPr>
          <w:rFonts w:hint="eastAsia" w:asciiTheme="minorEastAsia" w:hAnsiTheme="minorEastAsia" w:eastAsiaTheme="minorEastAsia"/>
          <w:sz w:val="24"/>
          <w:szCs w:val="24"/>
        </w:rPr>
        <w:t>乙</w:t>
      </w:r>
      <w:r>
        <w:rPr>
          <w:rFonts w:asciiTheme="minorEastAsia" w:hAnsiTheme="minorEastAsia" w:eastAsiaTheme="minorEastAsia"/>
          <w:sz w:val="24"/>
          <w:szCs w:val="24"/>
        </w:rPr>
        <w:t>方承担。</w:t>
      </w:r>
    </w:p>
    <w:p w14:paraId="65C5DAB5">
      <w:pPr>
        <w:snapToGrid w:val="0"/>
        <w:spacing w:line="33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4、工作时长：乙方需保证</w:t>
      </w:r>
      <w:r>
        <w:rPr>
          <w:rFonts w:hint="eastAsia" w:asciiTheme="minorEastAsia" w:hAnsiTheme="minorEastAsia" w:eastAsiaTheme="minorEastAsia"/>
          <w:sz w:val="24"/>
          <w:szCs w:val="24"/>
        </w:rPr>
        <w:t>设备的正常运行。</w:t>
      </w:r>
      <w:r>
        <w:rPr>
          <w:rFonts w:asciiTheme="minorEastAsia" w:hAnsiTheme="minorEastAsia" w:eastAsiaTheme="minorEastAsia"/>
          <w:sz w:val="24"/>
          <w:szCs w:val="24"/>
        </w:rPr>
        <w:t>如果每月乙方设备维修保养时间累计超过</w:t>
      </w:r>
      <w:r>
        <w:rPr>
          <w:rFonts w:hint="eastAsia" w:asciiTheme="minorEastAsia" w:hAnsiTheme="minorEastAsia" w:eastAsiaTheme="minorEastAsia"/>
          <w:sz w:val="24"/>
          <w:szCs w:val="24"/>
        </w:rPr>
        <w:t>2</w:t>
      </w:r>
      <w:r>
        <w:rPr>
          <w:rFonts w:asciiTheme="minorEastAsia" w:hAnsiTheme="minorEastAsia" w:eastAsiaTheme="minorEastAsia"/>
          <w:sz w:val="24"/>
          <w:szCs w:val="24"/>
        </w:rPr>
        <w:t>天，超出的维修保养时间从租赁期中扣除，不计租赁费。</w:t>
      </w:r>
    </w:p>
    <w:p w14:paraId="394E7776">
      <w:pPr>
        <w:snapToGrid w:val="0"/>
        <w:spacing w:line="330" w:lineRule="exact"/>
        <w:ind w:firstLine="480" w:firstLineChars="200"/>
        <w:rPr>
          <w:rFonts w:ascii="Times New Roman" w:hAnsi="Times New Roman"/>
          <w:sz w:val="24"/>
          <w:szCs w:val="24"/>
        </w:rPr>
      </w:pPr>
      <w:r>
        <w:rPr>
          <w:rFonts w:asciiTheme="minorEastAsia" w:hAnsiTheme="minorEastAsia" w:eastAsiaTheme="minorEastAsia"/>
          <w:sz w:val="24"/>
          <w:szCs w:val="24"/>
        </w:rPr>
        <w:t>5、合同调价、结算须经公司相关部门逐级审核同意、并加盖公章后有效，仅项目部人员签字、盖项目部相</w:t>
      </w:r>
      <w:r>
        <w:rPr>
          <w:rFonts w:ascii="Times New Roman" w:hAnsi="Times New Roman"/>
          <w:sz w:val="24"/>
          <w:szCs w:val="24"/>
        </w:rPr>
        <w:t>关印章，不能作为工程结算及付款依据。</w:t>
      </w:r>
    </w:p>
    <w:p w14:paraId="221B6064">
      <w:pPr>
        <w:snapToGrid w:val="0"/>
        <w:spacing w:line="330" w:lineRule="exact"/>
        <w:ind w:firstLine="480" w:firstLineChars="200"/>
        <w:rPr>
          <w:rFonts w:ascii="Times New Roman" w:hAnsi="Times New Roman" w:eastAsia="黑体"/>
          <w:sz w:val="24"/>
          <w:szCs w:val="24"/>
        </w:rPr>
      </w:pPr>
      <w:r>
        <w:rPr>
          <w:rFonts w:ascii="Times New Roman" w:hAnsi="Times New Roman" w:eastAsia="黑体"/>
          <w:sz w:val="24"/>
          <w:szCs w:val="24"/>
        </w:rPr>
        <w:t>第六条：付款方式</w:t>
      </w:r>
    </w:p>
    <w:p w14:paraId="66A77BA8">
      <w:pPr>
        <w:spacing w:line="330" w:lineRule="exact"/>
        <w:ind w:firstLine="480"/>
        <w:rPr>
          <w:rFonts w:ascii="黑体" w:hAnsi="黑体" w:eastAsia="黑体" w:cstheme="minorEastAsia"/>
          <w:sz w:val="24"/>
          <w:szCs w:val="24"/>
          <w:u w:val="single"/>
        </w:rPr>
      </w:pPr>
      <w:r>
        <w:rPr>
          <w:rFonts w:hint="eastAsia" w:asciiTheme="minorEastAsia" w:hAnsiTheme="minorEastAsia" w:eastAsiaTheme="minorEastAsia" w:cstheme="minorEastAsia"/>
          <w:sz w:val="24"/>
          <w:szCs w:val="24"/>
        </w:rPr>
        <w:t>1、租赁费的支付：</w:t>
      </w:r>
      <w:r>
        <w:rPr>
          <w:rFonts w:hint="eastAsia" w:ascii="黑体" w:hAnsi="黑体" w:eastAsia="黑体" w:cstheme="minorEastAsia"/>
          <w:sz w:val="24"/>
          <w:szCs w:val="24"/>
          <w:u w:val="single"/>
        </w:rPr>
        <w:t>无预付款，乙方每月25日前提交当月租赁进度款支付申请，经甲方审核后60天内支付当期租赁造价的70%；租赁结束并结算完成后60天内付至结算金额的90%（此节点付款需开具结算款全额发票）；剩余10%分两期支付，其中3%从业主颁发工程竣工验收意见之日起满2年后30天内无息支付给乙方，7%在甲方收到总包保证金之日起15天内无息支付给乙方。</w:t>
      </w:r>
    </w:p>
    <w:p w14:paraId="600CA262">
      <w:pPr>
        <w:spacing w:line="330" w:lineRule="exact"/>
        <w:ind w:firstLine="480"/>
        <w:rPr>
          <w:rFonts w:ascii="黑体" w:hAnsi="黑体" w:eastAsia="黑体" w:cstheme="minorEastAsia"/>
          <w:sz w:val="24"/>
          <w:szCs w:val="24"/>
          <w:u w:val="single"/>
        </w:rPr>
      </w:pPr>
      <w:r>
        <w:rPr>
          <w:rFonts w:hint="eastAsia" w:asciiTheme="minorEastAsia" w:hAnsiTheme="minorEastAsia" w:eastAsiaTheme="minorEastAsia" w:cstheme="minorEastAsia"/>
          <w:sz w:val="24"/>
          <w:szCs w:val="24"/>
        </w:rPr>
        <w:t>2、付款方式：</w:t>
      </w:r>
      <w:r>
        <w:rPr>
          <w:rFonts w:hint="eastAsia" w:ascii="黑体" w:hAnsi="黑体" w:eastAsia="黑体" w:cstheme="minorEastAsia"/>
          <w:sz w:val="24"/>
          <w:szCs w:val="24"/>
          <w:u w:val="single"/>
        </w:rPr>
        <w:t>包括电汇、支票、承兑汇票、铁建银信、云信等方式，甲方不承担相关手续费、贴现费等财务费用。</w:t>
      </w:r>
    </w:p>
    <w:p w14:paraId="4F20AA14">
      <w:pPr>
        <w:pStyle w:val="5"/>
        <w:spacing w:after="0" w:line="240" w:lineRule="auto"/>
        <w:ind w:left="0" w:firstLine="480" w:firstLineChars="200"/>
        <w:rPr>
          <w:rFonts w:ascii="黑体" w:hAnsi="黑体" w:eastAsia="黑体"/>
          <w:sz w:val="24"/>
          <w:u w:val="single"/>
        </w:rPr>
      </w:pPr>
      <w:r>
        <w:rPr>
          <w:rFonts w:hint="eastAsia" w:asciiTheme="minorEastAsia" w:hAnsiTheme="minorEastAsia" w:eastAsiaTheme="minorEastAsia"/>
          <w:sz w:val="24"/>
        </w:rPr>
        <w:t>3</w:t>
      </w:r>
      <w:r>
        <w:rPr>
          <w:rFonts w:asciiTheme="minorEastAsia" w:hAnsiTheme="minorEastAsia" w:eastAsiaTheme="minorEastAsia"/>
          <w:sz w:val="24"/>
        </w:rPr>
        <w:t>、租赁款支付流程：</w:t>
      </w:r>
      <w:r>
        <w:rPr>
          <w:rFonts w:hint="eastAsia" w:ascii="黑体" w:hAnsi="黑体" w:eastAsia="黑体" w:cstheme="minorEastAsia"/>
          <w:sz w:val="24"/>
          <w:u w:val="single"/>
        </w:rPr>
        <w:t>每次付款前乙方须提供符合甲方财务要求的增值税普通发票，甲方见票付款。</w:t>
      </w:r>
      <w:r>
        <w:rPr>
          <w:rFonts w:ascii="黑体" w:hAnsi="黑体" w:eastAsia="黑体"/>
          <w:sz w:val="24"/>
          <w:u w:val="single"/>
        </w:rPr>
        <w:t>乙方按合同约定向</w:t>
      </w:r>
      <w:r>
        <w:rPr>
          <w:rFonts w:hint="eastAsia" w:ascii="黑体" w:hAnsi="黑体" w:eastAsia="黑体"/>
          <w:sz w:val="24"/>
          <w:u w:val="single"/>
        </w:rPr>
        <w:t>甲方</w:t>
      </w:r>
      <w:r>
        <w:rPr>
          <w:rFonts w:ascii="黑体" w:hAnsi="黑体" w:eastAsia="黑体"/>
          <w:sz w:val="24"/>
          <w:u w:val="single"/>
        </w:rPr>
        <w:t>申报</w:t>
      </w:r>
      <w:r>
        <w:rPr>
          <w:rFonts w:hint="eastAsia" w:ascii="黑体" w:hAnsi="黑体" w:eastAsia="黑体"/>
          <w:sz w:val="24"/>
          <w:u w:val="single"/>
        </w:rPr>
        <w:t>租赁</w:t>
      </w:r>
      <w:r>
        <w:rPr>
          <w:rFonts w:ascii="黑体" w:hAnsi="黑体" w:eastAsia="黑体"/>
          <w:sz w:val="24"/>
          <w:u w:val="single"/>
        </w:rPr>
        <w:t>进度款支付申请，并开具</w:t>
      </w:r>
      <w:r>
        <w:rPr>
          <w:rFonts w:hint="eastAsia" w:ascii="黑体" w:hAnsi="黑体" w:eastAsia="黑体"/>
          <w:sz w:val="24"/>
          <w:u w:val="single"/>
        </w:rPr>
        <w:t>与租赁进度</w:t>
      </w:r>
      <w:r>
        <w:rPr>
          <w:rFonts w:ascii="黑体" w:hAnsi="黑体" w:eastAsia="黑体"/>
          <w:sz w:val="24"/>
          <w:u w:val="single"/>
        </w:rPr>
        <w:t>款申请</w:t>
      </w:r>
      <w:r>
        <w:rPr>
          <w:rFonts w:hint="eastAsia" w:ascii="黑体" w:hAnsi="黑体" w:eastAsia="黑体"/>
          <w:sz w:val="24"/>
          <w:u w:val="single"/>
        </w:rPr>
        <w:t>金额一致</w:t>
      </w:r>
      <w:r>
        <w:rPr>
          <w:rFonts w:ascii="黑体" w:hAnsi="黑体" w:eastAsia="黑体"/>
          <w:sz w:val="24"/>
          <w:u w:val="single"/>
        </w:rPr>
        <w:t>的税率为</w:t>
      </w:r>
      <w:r>
        <w:rPr>
          <w:rFonts w:hint="eastAsia" w:ascii="黑体" w:hAnsi="黑体" w:eastAsia="黑体"/>
          <w:sz w:val="24"/>
          <w:u w:val="single"/>
        </w:rPr>
        <w:t>1</w:t>
      </w:r>
      <w:r>
        <w:rPr>
          <w:rFonts w:ascii="黑体" w:hAnsi="黑体" w:eastAsia="黑体"/>
          <w:sz w:val="24"/>
          <w:u w:val="single"/>
        </w:rPr>
        <w:t>%的增值税</w:t>
      </w:r>
      <w:r>
        <w:rPr>
          <w:rFonts w:hint="eastAsia" w:ascii="黑体" w:hAnsi="黑体" w:eastAsia="黑体"/>
          <w:sz w:val="24"/>
          <w:u w:val="single"/>
        </w:rPr>
        <w:t>普通</w:t>
      </w:r>
      <w:r>
        <w:rPr>
          <w:rFonts w:ascii="黑体" w:hAnsi="黑体" w:eastAsia="黑体"/>
          <w:sz w:val="24"/>
          <w:u w:val="single"/>
        </w:rPr>
        <w:t>发票</w:t>
      </w:r>
      <w:r>
        <w:rPr>
          <w:rFonts w:hint="eastAsia" w:ascii="黑体" w:hAnsi="黑体" w:eastAsia="黑体"/>
          <w:sz w:val="24"/>
          <w:u w:val="single"/>
        </w:rPr>
        <w:t>（如遇到国家阶段性政策调整增值税税率，按阶段性政策调整增值税税率执行，除税单价不变），开票前请与甲方财务联系，确保所出具发票符合甲方要求。甲方</w:t>
      </w:r>
      <w:r>
        <w:rPr>
          <w:rFonts w:ascii="黑体" w:hAnsi="黑体" w:eastAsia="黑体"/>
          <w:sz w:val="24"/>
          <w:u w:val="single"/>
        </w:rPr>
        <w:t>项目经理签字确认后再向公司申请，待公司审批后方可付款。凡未按流程申请的，甲方有权拒绝付款。</w:t>
      </w:r>
    </w:p>
    <w:p w14:paraId="79B54AF2">
      <w:pPr>
        <w:pStyle w:val="5"/>
        <w:spacing w:after="0" w:line="24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本着友好合作的精神，总包的款项到达甲方账户后，甲方应当按合同约定支付乙方租赁款，若总包的款项未及时到达甲方账户，甲方可延迟支付，待项目总包工程款支付给甲方后，同步同比例向乙方支付租赁款，同时甲方不承担延迟支付的利息。乙方不得以甲方未及时付款为由，阻扰甲方的正常生产经营工作，每发生一次，甲方将给予乙方10万元的罚款，从结算款中直接扣除。</w:t>
      </w:r>
    </w:p>
    <w:p w14:paraId="4BBC6E0E">
      <w:pPr>
        <w:pStyle w:val="5"/>
        <w:spacing w:after="0" w:line="24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、租赁款中含甲方提供的合同暂定总价2%的安全投入，甲方将监督乙方切实执行，若乙方未能有效执行，则甲方有权在结算款中予以差额扣除。</w:t>
      </w:r>
    </w:p>
    <w:p w14:paraId="4F2039B2">
      <w:pPr>
        <w:pStyle w:val="5"/>
        <w:spacing w:after="0" w:line="24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、合同签订后乙方应向甲方交纳合同暂定总价5%的履约保证金，在甲方支付第l笔租赁款时从中扣除，待结算</w:t>
      </w:r>
      <w:r>
        <w:rPr>
          <w:rFonts w:hint="eastAsia" w:asciiTheme="minorEastAsia" w:hAnsiTheme="minorEastAsia" w:eastAsiaTheme="minorEastAsia"/>
          <w:sz w:val="24"/>
        </w:rPr>
        <w:t>完成</w:t>
      </w:r>
      <w:r>
        <w:rPr>
          <w:rFonts w:asciiTheme="minorEastAsia" w:hAnsiTheme="minorEastAsia" w:eastAsiaTheme="minorEastAsia"/>
          <w:sz w:val="24"/>
        </w:rPr>
        <w:t>后，甲方无息退还乙方的履约保证金。</w:t>
      </w:r>
    </w:p>
    <w:p w14:paraId="2A99B17E">
      <w:pPr>
        <w:pStyle w:val="5"/>
        <w:spacing w:after="0" w:line="24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、乙方需协助甲方做好与地方、业主、总包、监理、审计及其他第三方的协调工作。</w:t>
      </w:r>
    </w:p>
    <w:p w14:paraId="7A2A2D7F">
      <w:pPr>
        <w:snapToGrid w:val="0"/>
        <w:spacing w:line="330" w:lineRule="exact"/>
        <w:ind w:firstLine="480" w:firstLineChars="200"/>
        <w:rPr>
          <w:rFonts w:ascii="Times New Roman" w:hAnsi="Times New Roman" w:eastAsia="黑体"/>
          <w:sz w:val="24"/>
          <w:szCs w:val="24"/>
        </w:rPr>
      </w:pPr>
      <w:r>
        <w:rPr>
          <w:rFonts w:ascii="Times New Roman" w:hAnsi="Times New Roman" w:eastAsia="黑体"/>
          <w:sz w:val="24"/>
          <w:szCs w:val="24"/>
        </w:rPr>
        <w:t>第七条：甲方职责</w:t>
      </w:r>
    </w:p>
    <w:p w14:paraId="5632CD36">
      <w:pPr>
        <w:pStyle w:val="5"/>
        <w:spacing w:after="0" w:line="24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、甲方不得强迫乙方维护</w:t>
      </w:r>
      <w:r>
        <w:rPr>
          <w:rFonts w:hint="eastAsia" w:asciiTheme="minorEastAsia" w:hAnsiTheme="minorEastAsia" w:eastAsiaTheme="minorEastAsia"/>
          <w:sz w:val="24"/>
        </w:rPr>
        <w:t>人员</w:t>
      </w:r>
      <w:r>
        <w:rPr>
          <w:rFonts w:asciiTheme="minorEastAsia" w:hAnsiTheme="minorEastAsia" w:eastAsiaTheme="minorEastAsia"/>
          <w:sz w:val="24"/>
        </w:rPr>
        <w:t>违章作业或超负荷工作，严禁违章指挥。</w:t>
      </w:r>
    </w:p>
    <w:p w14:paraId="3E26D179">
      <w:pPr>
        <w:pStyle w:val="5"/>
        <w:spacing w:after="0" w:line="24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、甲方负责租赁设备的进场签认及租费的签认工作，负责租赁费的及时支付。</w:t>
      </w:r>
    </w:p>
    <w:p w14:paraId="3F93FB21">
      <w:pPr>
        <w:pStyle w:val="5"/>
        <w:spacing w:after="0" w:line="240" w:lineRule="auto"/>
        <w:ind w:left="0" w:firstLine="480" w:firstLineChars="200"/>
        <w:rPr>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ascii="黑体" w:hAnsi="黑体" w:eastAsia="黑体"/>
          <w:sz w:val="24"/>
        </w:rPr>
        <w:t>本项目甲方不提供燃油</w:t>
      </w:r>
      <w:r>
        <w:rPr>
          <w:rFonts w:hint="eastAsia" w:ascii="黑体" w:hAnsi="黑体" w:eastAsia="黑体"/>
          <w:sz w:val="24"/>
        </w:rPr>
        <w:t>，</w:t>
      </w:r>
      <w:r>
        <w:rPr>
          <w:rFonts w:ascii="黑体" w:hAnsi="黑体" w:eastAsia="黑体"/>
          <w:sz w:val="24"/>
        </w:rPr>
        <w:t>燃油由乙方提供，责任由乙方承担</w:t>
      </w:r>
      <w:r>
        <w:rPr>
          <w:rFonts w:hint="eastAsia" w:ascii="黑体" w:hAnsi="黑体" w:eastAsia="黑体"/>
          <w:sz w:val="24"/>
        </w:rPr>
        <w:t>。</w:t>
      </w:r>
    </w:p>
    <w:p w14:paraId="0BC5999E">
      <w:pPr>
        <w:snapToGrid w:val="0"/>
        <w:spacing w:line="330" w:lineRule="exact"/>
        <w:ind w:firstLine="480" w:firstLineChars="200"/>
        <w:rPr>
          <w:rFonts w:ascii="Times New Roman" w:hAnsi="Times New Roman" w:eastAsia="黑体"/>
          <w:sz w:val="24"/>
          <w:szCs w:val="24"/>
        </w:rPr>
      </w:pPr>
      <w:r>
        <w:rPr>
          <w:rFonts w:ascii="Times New Roman" w:hAnsi="Times New Roman" w:eastAsia="黑体"/>
          <w:sz w:val="24"/>
          <w:szCs w:val="24"/>
        </w:rPr>
        <w:t>第八条：乙方职责</w:t>
      </w:r>
    </w:p>
    <w:p w14:paraId="633207BC">
      <w:pPr>
        <w:snapToGrid w:val="0"/>
        <w:spacing w:line="33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1、乙方提供性能良好并经检测合格的设备。</w:t>
      </w:r>
    </w:p>
    <w:p w14:paraId="1D1AC7DF">
      <w:pPr>
        <w:snapToGrid w:val="0"/>
        <w:spacing w:line="33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2、乙方设备进入甲方施工现场后，乙方需服从甲方施工管理人员的调度与指挥，并遵守甲方现场的规章制度，但有权拒绝甲方的违章指挥。</w:t>
      </w:r>
    </w:p>
    <w:p w14:paraId="10F8D2AF">
      <w:pPr>
        <w:snapToGrid w:val="0"/>
        <w:spacing w:line="33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3、乙方负责配备设备维护人员并承担其工资、加班费、补助等费用，负责设备的日常维护保养和故障的处理，确保机械性能状态完好。如果每月乙方设备维修保养时间累计超过</w:t>
      </w:r>
      <w:r>
        <w:rPr>
          <w:rFonts w:hint="eastAsia" w:asciiTheme="minorEastAsia" w:hAnsiTheme="minorEastAsia" w:eastAsiaTheme="minorEastAsia"/>
          <w:sz w:val="24"/>
          <w:szCs w:val="24"/>
        </w:rPr>
        <w:t>2</w:t>
      </w:r>
      <w:r>
        <w:rPr>
          <w:rFonts w:asciiTheme="minorEastAsia" w:hAnsiTheme="minorEastAsia" w:eastAsiaTheme="minorEastAsia"/>
          <w:sz w:val="24"/>
          <w:szCs w:val="24"/>
        </w:rPr>
        <w:t>天，超出的维修保养时间从租赁期中扣除，不计租赁费。</w:t>
      </w:r>
    </w:p>
    <w:p w14:paraId="738149F1">
      <w:pPr>
        <w:snapToGrid w:val="0"/>
        <w:spacing w:line="33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、乙方接甲方通知要求设备退场后，乙方须3天内退场，若乙方3天内未退场，每超过一天甲方给予乙方2000</w:t>
      </w:r>
      <w:r>
        <w:rPr>
          <w:rFonts w:hint="eastAsia" w:asciiTheme="minorEastAsia" w:hAnsiTheme="minorEastAsia" w:eastAsiaTheme="minorEastAsia"/>
          <w:sz w:val="24"/>
        </w:rPr>
        <w:t>.00</w:t>
      </w:r>
      <w:r>
        <w:rPr>
          <w:rFonts w:asciiTheme="minorEastAsia" w:hAnsiTheme="minorEastAsia" w:eastAsiaTheme="minorEastAsia"/>
          <w:sz w:val="24"/>
        </w:rPr>
        <w:t>元处罚，</w:t>
      </w:r>
      <w:r>
        <w:rPr>
          <w:rFonts w:hint="eastAsia" w:asciiTheme="minorEastAsia" w:hAnsiTheme="minorEastAsia" w:eastAsiaTheme="minorEastAsia"/>
          <w:sz w:val="24"/>
        </w:rPr>
        <w:t>才</w:t>
      </w:r>
      <w:r>
        <w:rPr>
          <w:rFonts w:asciiTheme="minorEastAsia" w:hAnsiTheme="minorEastAsia" w:eastAsiaTheme="minorEastAsia"/>
          <w:sz w:val="24"/>
        </w:rPr>
        <w:t>处罚从乙方租赁费中扣除，无需乙方确认。</w:t>
      </w:r>
    </w:p>
    <w:p w14:paraId="5D719A21">
      <w:pPr>
        <w:snapToGrid w:val="0"/>
        <w:spacing w:line="330" w:lineRule="exact"/>
        <w:ind w:firstLine="480" w:firstLineChars="200"/>
        <w:rPr>
          <w:rFonts w:ascii="黑体" w:hAnsi="黑体" w:eastAsia="黑体"/>
          <w:sz w:val="24"/>
        </w:rPr>
      </w:pPr>
      <w:r>
        <w:rPr>
          <w:rFonts w:hint="eastAsia" w:ascii="黑体" w:hAnsi="黑体" w:eastAsia="黑体"/>
          <w:sz w:val="24"/>
        </w:rPr>
        <w:t>5</w:t>
      </w:r>
      <w:r>
        <w:rPr>
          <w:rFonts w:ascii="黑体" w:hAnsi="黑体" w:eastAsia="黑体"/>
          <w:sz w:val="24"/>
        </w:rPr>
        <w:t>、乙方承担设备进退场运输过程中产生的所有纠纷与问题，设备进退场途中所产生的任何问题与甲方无关。乙方场地装卸及安全由乙方负责</w:t>
      </w:r>
      <w:r>
        <w:rPr>
          <w:rFonts w:hint="eastAsia" w:ascii="黑体" w:hAnsi="黑体" w:eastAsia="黑体"/>
          <w:sz w:val="24"/>
        </w:rPr>
        <w:t>。</w:t>
      </w:r>
    </w:p>
    <w:p w14:paraId="6D416D3F">
      <w:pPr>
        <w:snapToGrid w:val="0"/>
        <w:spacing w:line="33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乙方承担的工程施工时遗留尾工而退场，乙方未按甲方通知所约定的时间内及时返场的，则甲方有权将未完尾工另行委托他人进行施工，并按所发生费用的2倍从乙方租赁款中扣除。甲方对所扣除费用的额度不作任何解释，乙方对所扣除的费用的额度不提出任何异议。</w:t>
      </w:r>
    </w:p>
    <w:p w14:paraId="09F59E93">
      <w:pPr>
        <w:snapToGrid w:val="0"/>
        <w:spacing w:line="33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、在本工程施工过程中，如乙方遇到不利外部条件等情况可能发生索赔时，乙方通过甲方向总包提出索赔要求。索赔成功，甲方在</w:t>
      </w:r>
      <w:r>
        <w:rPr>
          <w:rFonts w:ascii="Times New Roman" w:hAnsi="Times New Roman"/>
          <w:sz w:val="24"/>
        </w:rPr>
        <w:t>总包</w:t>
      </w:r>
      <w:r>
        <w:rPr>
          <w:rFonts w:asciiTheme="minorEastAsia" w:hAnsiTheme="minorEastAsia" w:eastAsiaTheme="minorEastAsia"/>
          <w:sz w:val="24"/>
        </w:rPr>
        <w:t>实际支付的赔偿金范围内，将乙方因该索赔事由实际增加的直接费用支付给乙方。若索赔不成功，乙方不得以任何理由向甲方索赔。</w:t>
      </w:r>
    </w:p>
    <w:p w14:paraId="0A75C5DB">
      <w:pPr>
        <w:snapToGrid w:val="0"/>
        <w:spacing w:line="33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、以上各条应严格执行，如有违反，自行承担一切责任，其产生的费用由乙方承担。</w:t>
      </w:r>
    </w:p>
    <w:p w14:paraId="21FD1A27">
      <w:pPr>
        <w:snapToGrid w:val="0"/>
        <w:spacing w:line="330" w:lineRule="exact"/>
        <w:ind w:firstLine="480" w:firstLineChars="200"/>
        <w:rPr>
          <w:rFonts w:ascii="Times New Roman" w:hAnsi="Times New Roman" w:eastAsia="黑体"/>
          <w:sz w:val="24"/>
          <w:szCs w:val="24"/>
        </w:rPr>
      </w:pPr>
      <w:r>
        <w:rPr>
          <w:rFonts w:ascii="Times New Roman" w:hAnsi="Times New Roman" w:eastAsia="黑体"/>
          <w:sz w:val="24"/>
          <w:szCs w:val="24"/>
        </w:rPr>
        <w:t>第九条</w:t>
      </w:r>
      <w:r>
        <w:rPr>
          <w:rFonts w:hint="eastAsia" w:ascii="Times New Roman" w:hAnsi="Times New Roman" w:eastAsia="黑体"/>
          <w:sz w:val="24"/>
          <w:szCs w:val="24"/>
        </w:rPr>
        <w:t>：</w:t>
      </w:r>
      <w:r>
        <w:rPr>
          <w:rFonts w:ascii="Times New Roman" w:hAnsi="Times New Roman" w:eastAsia="黑体"/>
          <w:sz w:val="24"/>
          <w:szCs w:val="24"/>
        </w:rPr>
        <w:t>安全文明施工要求</w:t>
      </w:r>
    </w:p>
    <w:p w14:paraId="6710EDBC">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1、安全施工：安全施工由乙方全面负责，在乙方承包施工的工作范围内，出现任何有关人身、机械、财产等方面的安全事故及乙方人员出现病、亡等造成的损失均由乙方承担。在施工过程中乙方必须接收甲方的安全管理，遵守现场的安全操作规程。</w:t>
      </w:r>
    </w:p>
    <w:p w14:paraId="4784C47E">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2、工地文明施工：甲方进行统一管理，乙方必须服从管理，如发现违规操作，甲方有权责令乙方停工及处罚。</w:t>
      </w:r>
    </w:p>
    <w:p w14:paraId="72E632FE">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3、安全管理、文明施工：乙方必须保证在整个施工工期内无人员伤亡或直接经济损失超过人民币2000</w:t>
      </w:r>
      <w:r>
        <w:rPr>
          <w:rFonts w:hint="eastAsia" w:asciiTheme="minorEastAsia" w:hAnsiTheme="minorEastAsia" w:eastAsiaTheme="minorEastAsia"/>
          <w:sz w:val="24"/>
        </w:rPr>
        <w:t>.00</w:t>
      </w:r>
      <w:r>
        <w:rPr>
          <w:rFonts w:asciiTheme="minorEastAsia" w:hAnsiTheme="minorEastAsia" w:eastAsiaTheme="minorEastAsia"/>
          <w:sz w:val="24"/>
        </w:rPr>
        <w:t>元以上的安全事故；若发生事故（含重大安全事故），责任及经济损失全部由乙方承担，同时</w:t>
      </w:r>
      <w:r>
        <w:rPr>
          <w:rFonts w:hint="eastAsia" w:asciiTheme="minorEastAsia" w:hAnsiTheme="minorEastAsia" w:eastAsiaTheme="minorEastAsia"/>
          <w:sz w:val="24"/>
        </w:rPr>
        <w:t>甲</w:t>
      </w:r>
      <w:r>
        <w:rPr>
          <w:rFonts w:asciiTheme="minorEastAsia" w:hAnsiTheme="minorEastAsia" w:eastAsiaTheme="minorEastAsia"/>
          <w:sz w:val="24"/>
        </w:rPr>
        <w:t>方还要给予</w:t>
      </w:r>
      <w:r>
        <w:rPr>
          <w:rFonts w:hint="eastAsia" w:asciiTheme="minorEastAsia" w:hAnsiTheme="minorEastAsia" w:eastAsiaTheme="minorEastAsia"/>
          <w:sz w:val="24"/>
        </w:rPr>
        <w:t>乙</w:t>
      </w:r>
      <w:r>
        <w:rPr>
          <w:rFonts w:asciiTheme="minorEastAsia" w:hAnsiTheme="minorEastAsia" w:eastAsiaTheme="minorEastAsia"/>
          <w:sz w:val="24"/>
        </w:rPr>
        <w:t>方人民币2000</w:t>
      </w:r>
      <w:r>
        <w:rPr>
          <w:rFonts w:hint="eastAsia" w:asciiTheme="minorEastAsia" w:hAnsiTheme="minorEastAsia" w:eastAsiaTheme="minorEastAsia"/>
          <w:sz w:val="24"/>
        </w:rPr>
        <w:t>.00</w:t>
      </w:r>
      <w:r>
        <w:rPr>
          <w:rFonts w:asciiTheme="minorEastAsia" w:hAnsiTheme="minorEastAsia" w:eastAsiaTheme="minorEastAsia"/>
          <w:sz w:val="24"/>
        </w:rPr>
        <w:t>元（大写</w:t>
      </w:r>
      <w:r>
        <w:rPr>
          <w:rFonts w:hint="eastAsia" w:asciiTheme="minorEastAsia" w:hAnsiTheme="minorEastAsia" w:eastAsiaTheme="minorEastAsia"/>
          <w:sz w:val="24"/>
        </w:rPr>
        <w:t>：</w:t>
      </w:r>
      <w:r>
        <w:rPr>
          <w:rFonts w:asciiTheme="minorEastAsia" w:hAnsiTheme="minorEastAsia" w:eastAsiaTheme="minorEastAsia"/>
          <w:sz w:val="24"/>
        </w:rPr>
        <w:t>贰仟元整）每次的经济</w:t>
      </w:r>
      <w:r>
        <w:rPr>
          <w:rFonts w:hint="eastAsia" w:asciiTheme="minorEastAsia" w:hAnsiTheme="minorEastAsia" w:eastAsiaTheme="minorEastAsia"/>
          <w:sz w:val="24"/>
        </w:rPr>
        <w:t>处罚</w:t>
      </w:r>
      <w:r>
        <w:rPr>
          <w:rFonts w:asciiTheme="minorEastAsia" w:hAnsiTheme="minorEastAsia" w:eastAsiaTheme="minorEastAsia"/>
          <w:sz w:val="24"/>
        </w:rPr>
        <w:t>。发生重大安全事故造成人员死亡的，责任及经济损失全部由乙方承担，同时</w:t>
      </w:r>
      <w:r>
        <w:rPr>
          <w:rFonts w:hint="eastAsia" w:asciiTheme="minorEastAsia" w:hAnsiTheme="minorEastAsia" w:eastAsiaTheme="minorEastAsia"/>
          <w:sz w:val="24"/>
        </w:rPr>
        <w:t>甲</w:t>
      </w:r>
      <w:r>
        <w:rPr>
          <w:rFonts w:asciiTheme="minorEastAsia" w:hAnsiTheme="minorEastAsia" w:eastAsiaTheme="minorEastAsia"/>
          <w:sz w:val="24"/>
        </w:rPr>
        <w:t>方要给予</w:t>
      </w:r>
      <w:r>
        <w:rPr>
          <w:rFonts w:hint="eastAsia" w:asciiTheme="minorEastAsia" w:hAnsiTheme="minorEastAsia" w:eastAsiaTheme="minorEastAsia"/>
          <w:sz w:val="24"/>
        </w:rPr>
        <w:t>乙</w:t>
      </w:r>
      <w:r>
        <w:rPr>
          <w:rFonts w:asciiTheme="minorEastAsia" w:hAnsiTheme="minorEastAsia" w:eastAsiaTheme="minorEastAsia"/>
          <w:sz w:val="24"/>
        </w:rPr>
        <w:t>方人民币200000</w:t>
      </w:r>
      <w:r>
        <w:rPr>
          <w:rFonts w:hint="eastAsia" w:asciiTheme="minorEastAsia" w:hAnsiTheme="minorEastAsia" w:eastAsiaTheme="minorEastAsia"/>
          <w:sz w:val="24"/>
        </w:rPr>
        <w:t>.00</w:t>
      </w:r>
      <w:r>
        <w:rPr>
          <w:rFonts w:asciiTheme="minorEastAsia" w:hAnsiTheme="minorEastAsia" w:eastAsiaTheme="minorEastAsia"/>
          <w:sz w:val="24"/>
        </w:rPr>
        <w:t>元（大写</w:t>
      </w:r>
      <w:r>
        <w:rPr>
          <w:rFonts w:hint="eastAsia" w:asciiTheme="minorEastAsia" w:hAnsiTheme="minorEastAsia" w:eastAsiaTheme="minorEastAsia"/>
          <w:sz w:val="24"/>
        </w:rPr>
        <w:t>：</w:t>
      </w:r>
      <w:r>
        <w:rPr>
          <w:rFonts w:asciiTheme="minorEastAsia" w:hAnsiTheme="minorEastAsia" w:eastAsiaTheme="minorEastAsia"/>
          <w:sz w:val="24"/>
        </w:rPr>
        <w:t>贰拾万元整）每人的经济</w:t>
      </w:r>
      <w:r>
        <w:rPr>
          <w:rFonts w:hint="eastAsia" w:asciiTheme="minorEastAsia" w:hAnsiTheme="minorEastAsia" w:eastAsiaTheme="minorEastAsia"/>
          <w:sz w:val="24"/>
        </w:rPr>
        <w:t>处罚</w:t>
      </w:r>
      <w:r>
        <w:rPr>
          <w:rFonts w:asciiTheme="minorEastAsia" w:hAnsiTheme="minorEastAsia" w:eastAsiaTheme="minorEastAsia"/>
          <w:sz w:val="24"/>
        </w:rPr>
        <w:t>。同时，甲方有权单方解除合同。</w:t>
      </w:r>
    </w:p>
    <w:p w14:paraId="1DFDD6F6">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4、乙方的司机及与乙方有关的人员进入施工现场后，必须严格遵守工程施工现场的一切规章制度和甲方、监理的要求和统一指挥，遵守施工现场的安全施工和文明施工管理条例。凡是乙方自身员工及与乙方有关的第三人员或因乙方人员、车辆及与乙方有关的第三方人员、车辆在施工现场引发的、发生的伤亡事故，其经济责任、法律责任和其他民事责任均由乙方负责，于甲方无关。乙方的运输车辆在运输过程中发生的一切交通违法事故、人员伤害事故等一切安全事故、人身伤害事故，其经济责任、法律责任和其他民事责任均由乙方负责，与甲方无关。</w:t>
      </w:r>
    </w:p>
    <w:p w14:paraId="146680DB">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5、乙方应加强自身员工的教育，凡是进入施工现场的乙方及与乙方有关的人员、车辆，在施工现场内严禁酗酒、打架斗殴、赌博、随地大小便行为，每发生一次，甲方给予乙方1000元/次的经济罚款。</w:t>
      </w:r>
    </w:p>
    <w:p w14:paraId="11F99D0E">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6、进度要求：乙方进场设备数量及型号必须满足甲方及总包要求。若</w:t>
      </w:r>
      <w:r>
        <w:rPr>
          <w:rFonts w:hint="eastAsia" w:asciiTheme="minorEastAsia" w:hAnsiTheme="minorEastAsia" w:eastAsiaTheme="minorEastAsia"/>
          <w:sz w:val="24"/>
        </w:rPr>
        <w:t>不能</w:t>
      </w:r>
      <w:r>
        <w:rPr>
          <w:rFonts w:asciiTheme="minorEastAsia" w:hAnsiTheme="minorEastAsia" w:eastAsiaTheme="minorEastAsia"/>
          <w:sz w:val="24"/>
        </w:rPr>
        <w:t>满足施工</w:t>
      </w:r>
      <w:r>
        <w:rPr>
          <w:rFonts w:hint="eastAsia" w:asciiTheme="minorEastAsia" w:hAnsiTheme="minorEastAsia" w:eastAsiaTheme="minorEastAsia"/>
          <w:sz w:val="24"/>
        </w:rPr>
        <w:t>需要</w:t>
      </w:r>
      <w:r>
        <w:rPr>
          <w:rFonts w:asciiTheme="minorEastAsia" w:hAnsiTheme="minorEastAsia" w:eastAsiaTheme="minorEastAsia"/>
          <w:sz w:val="24"/>
        </w:rPr>
        <w:t>，因甲方原因造成的由甲方承担总包的经济处罚，因乙方原因造成的由乙方承担总包的经济处罚。</w:t>
      </w:r>
    </w:p>
    <w:p w14:paraId="4768A6D3">
      <w:pPr>
        <w:spacing w:line="330" w:lineRule="exact"/>
        <w:ind w:firstLine="482"/>
        <w:rPr>
          <w:rFonts w:ascii="Times New Roman" w:hAnsi="Times New Roman" w:eastAsia="黑体"/>
          <w:bCs/>
          <w:sz w:val="24"/>
        </w:rPr>
      </w:pPr>
      <w:r>
        <w:rPr>
          <w:rFonts w:ascii="Times New Roman" w:hAnsi="Times New Roman" w:eastAsia="黑体"/>
          <w:bCs/>
          <w:sz w:val="24"/>
        </w:rPr>
        <w:t>第十条：合同解除</w:t>
      </w:r>
    </w:p>
    <w:p w14:paraId="33161743">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1、甲乙双方协商一致，可以解除合同。</w:t>
      </w:r>
    </w:p>
    <w:p w14:paraId="09A896EE">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2、发生下列情况之一的，合同应当解除，因合同解除而给各方造成的损失由各方自行承担，甲乙双方互不追索：</w:t>
      </w:r>
    </w:p>
    <w:p w14:paraId="3310B667">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2.1因不可抗力导致合同无法履行的；</w:t>
      </w:r>
    </w:p>
    <w:p w14:paraId="263F2E04">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2.2业主</w:t>
      </w:r>
      <w:r>
        <w:rPr>
          <w:rFonts w:hint="eastAsia" w:asciiTheme="minorEastAsia" w:hAnsiTheme="minorEastAsia" w:eastAsiaTheme="minorEastAsia"/>
          <w:sz w:val="24"/>
        </w:rPr>
        <w:t>、</w:t>
      </w:r>
      <w:r>
        <w:rPr>
          <w:rFonts w:asciiTheme="minorEastAsia" w:hAnsiTheme="minorEastAsia" w:eastAsiaTheme="minorEastAsia"/>
          <w:sz w:val="24"/>
        </w:rPr>
        <w:t>总包原因造成的工程停建或缓建导致合同无法履行的；</w:t>
      </w:r>
    </w:p>
    <w:p w14:paraId="68C6AFCE">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2.3因设计变更导致合同工程取消的；</w:t>
      </w:r>
    </w:p>
    <w:p w14:paraId="76F6FF0F">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2.4总包合同解除的；</w:t>
      </w:r>
    </w:p>
    <w:p w14:paraId="3E30253A">
      <w:pPr>
        <w:spacing w:line="330" w:lineRule="exact"/>
        <w:ind w:firstLine="480"/>
        <w:rPr>
          <w:rFonts w:asciiTheme="minorEastAsia" w:hAnsiTheme="minorEastAsia" w:eastAsiaTheme="minorEastAsia"/>
          <w:sz w:val="24"/>
        </w:rPr>
      </w:pPr>
      <w:r>
        <w:rPr>
          <w:rFonts w:asciiTheme="minorEastAsia" w:hAnsiTheme="minorEastAsia" w:eastAsiaTheme="minorEastAsia"/>
          <w:sz w:val="24"/>
        </w:rPr>
        <w:t>2.5法律法规规定应当解除的其它情形。</w:t>
      </w:r>
    </w:p>
    <w:p w14:paraId="095268CC">
      <w:pPr>
        <w:spacing w:line="330" w:lineRule="exact"/>
        <w:ind w:firstLine="482"/>
        <w:rPr>
          <w:rFonts w:ascii="黑体" w:hAnsi="黑体" w:eastAsia="黑体"/>
          <w:bCs/>
          <w:sz w:val="24"/>
        </w:rPr>
      </w:pPr>
      <w:r>
        <w:rPr>
          <w:rFonts w:ascii="黑体" w:hAnsi="黑体" w:eastAsia="黑体"/>
          <w:bCs/>
          <w:sz w:val="24"/>
        </w:rPr>
        <w:t>第十一条：争议处理：</w:t>
      </w:r>
      <w:r>
        <w:rPr>
          <w:rFonts w:hint="eastAsia" w:ascii="黑体" w:hAnsi="黑体" w:eastAsia="黑体"/>
          <w:bCs/>
          <w:sz w:val="24"/>
        </w:rPr>
        <w:t>本合同履行期间如发生争议，双方应协商解决。协商不成的，则提交南京市栖霞区人民法院管辖裁决，同时因实现债权提起诉讼的全部费用（包括诉讼费、保全费、律师费、担保费等所有费用）均由乙方承担。本合同关于争议解决方式的约定具有最高的效力，双方以后发生的补充合同、会议纪要、来往函件、发料单、结算单等涉及到争议解决方式的，均不得对抗此约定</w:t>
      </w:r>
      <w:r>
        <w:rPr>
          <w:rFonts w:ascii="黑体" w:hAnsi="黑体" w:eastAsia="黑体"/>
          <w:bCs/>
          <w:sz w:val="24"/>
        </w:rPr>
        <w:t>。</w:t>
      </w:r>
    </w:p>
    <w:p w14:paraId="281525FD">
      <w:pPr>
        <w:spacing w:line="330" w:lineRule="exact"/>
        <w:ind w:firstLine="482"/>
        <w:rPr>
          <w:rFonts w:ascii="黑体" w:hAnsi="黑体" w:eastAsia="黑体"/>
          <w:bCs/>
          <w:sz w:val="24"/>
        </w:rPr>
      </w:pPr>
      <w:r>
        <w:rPr>
          <w:rFonts w:ascii="黑体" w:hAnsi="黑体" w:eastAsia="黑体"/>
          <w:bCs/>
          <w:sz w:val="24"/>
        </w:rPr>
        <w:t>第十二条：合同生效与终止。自双方签字盖章后生效</w:t>
      </w:r>
      <w:r>
        <w:rPr>
          <w:rFonts w:hint="eastAsia" w:ascii="黑体" w:hAnsi="黑体" w:eastAsia="黑体"/>
          <w:bCs/>
          <w:sz w:val="24"/>
        </w:rPr>
        <w:t>，</w:t>
      </w:r>
      <w:r>
        <w:rPr>
          <w:rFonts w:ascii="黑体" w:hAnsi="黑体" w:eastAsia="黑体"/>
          <w:bCs/>
          <w:sz w:val="24"/>
        </w:rPr>
        <w:t>待工程款付清后自行终止。</w:t>
      </w:r>
    </w:p>
    <w:p w14:paraId="5731155A">
      <w:pPr>
        <w:spacing w:line="330" w:lineRule="exact"/>
        <w:ind w:firstLine="482"/>
        <w:rPr>
          <w:rFonts w:ascii="黑体" w:hAnsi="黑体" w:eastAsia="黑体"/>
          <w:bCs/>
          <w:sz w:val="24"/>
        </w:rPr>
      </w:pPr>
      <w:r>
        <w:rPr>
          <w:rFonts w:ascii="黑体" w:hAnsi="黑体" w:eastAsia="黑体"/>
          <w:bCs/>
          <w:sz w:val="24"/>
        </w:rPr>
        <w:t>第十三条：合同份数：一式</w:t>
      </w:r>
      <w:r>
        <w:rPr>
          <w:rFonts w:hint="eastAsia" w:ascii="黑体" w:hAnsi="黑体" w:eastAsia="黑体"/>
          <w:bCs/>
          <w:sz w:val="24"/>
          <w:u w:val="single"/>
        </w:rPr>
        <w:t xml:space="preserve"> 贰 </w:t>
      </w:r>
      <w:r>
        <w:rPr>
          <w:rFonts w:ascii="黑体" w:hAnsi="黑体" w:eastAsia="黑体"/>
          <w:bCs/>
          <w:sz w:val="24"/>
        </w:rPr>
        <w:t>份，甲方执</w:t>
      </w:r>
      <w:r>
        <w:rPr>
          <w:rFonts w:hint="eastAsia" w:ascii="黑体" w:hAnsi="黑体" w:eastAsia="黑体"/>
          <w:bCs/>
          <w:sz w:val="24"/>
          <w:u w:val="single"/>
        </w:rPr>
        <w:t xml:space="preserve"> 壹 </w:t>
      </w:r>
      <w:r>
        <w:rPr>
          <w:rFonts w:ascii="黑体" w:hAnsi="黑体" w:eastAsia="黑体"/>
          <w:bCs/>
          <w:sz w:val="24"/>
        </w:rPr>
        <w:t>份、乙方执</w:t>
      </w:r>
      <w:r>
        <w:rPr>
          <w:rFonts w:hint="eastAsia" w:ascii="黑体" w:hAnsi="黑体" w:eastAsia="黑体"/>
          <w:bCs/>
          <w:sz w:val="24"/>
          <w:u w:val="single"/>
        </w:rPr>
        <w:t xml:space="preserve"> </w:t>
      </w:r>
      <w:r>
        <w:rPr>
          <w:rFonts w:ascii="黑体" w:hAnsi="黑体" w:eastAsia="黑体"/>
          <w:bCs/>
          <w:sz w:val="24"/>
          <w:u w:val="single"/>
        </w:rPr>
        <w:t>壹</w:t>
      </w:r>
      <w:r>
        <w:rPr>
          <w:rFonts w:hint="eastAsia" w:ascii="黑体" w:hAnsi="黑体" w:eastAsia="黑体"/>
          <w:bCs/>
          <w:sz w:val="24"/>
          <w:u w:val="single"/>
        </w:rPr>
        <w:t xml:space="preserve"> </w:t>
      </w:r>
      <w:r>
        <w:rPr>
          <w:rFonts w:ascii="黑体" w:hAnsi="黑体" w:eastAsia="黑体"/>
          <w:bCs/>
          <w:sz w:val="24"/>
        </w:rPr>
        <w:t>份。</w:t>
      </w:r>
    </w:p>
    <w:p w14:paraId="2855DF7D">
      <w:pPr>
        <w:spacing w:line="330" w:lineRule="exact"/>
        <w:ind w:firstLine="482"/>
        <w:rPr>
          <w:rFonts w:ascii="黑体" w:hAnsi="黑体" w:eastAsia="黑体"/>
          <w:bCs/>
          <w:sz w:val="24"/>
        </w:rPr>
      </w:pPr>
      <w:r>
        <w:rPr>
          <w:rFonts w:ascii="黑体" w:hAnsi="黑体" w:eastAsia="黑体"/>
          <w:bCs/>
          <w:sz w:val="24"/>
        </w:rPr>
        <w:t>未尽事宜，双方协商解决。</w:t>
      </w:r>
    </w:p>
    <w:p w14:paraId="5E9B408C">
      <w:pPr>
        <w:spacing w:line="330" w:lineRule="exact"/>
        <w:ind w:firstLine="482"/>
        <w:rPr>
          <w:rFonts w:ascii="黑体" w:hAnsi="黑体" w:eastAsia="黑体"/>
          <w:bCs/>
          <w:sz w:val="24"/>
        </w:rPr>
      </w:pPr>
    </w:p>
    <w:tbl>
      <w:tblPr>
        <w:tblStyle w:val="12"/>
        <w:tblW w:w="9986" w:type="dxa"/>
        <w:jc w:val="center"/>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1656"/>
        <w:gridCol w:w="3559"/>
        <w:gridCol w:w="4771"/>
      </w:tblGrid>
      <w:tr w14:paraId="16302437">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1604D025">
            <w:pPr>
              <w:jc w:val="center"/>
              <w:rPr>
                <w:rFonts w:ascii="Times New Roman" w:hAnsi="Times New Roman"/>
                <w:szCs w:val="21"/>
              </w:rPr>
            </w:pPr>
          </w:p>
        </w:tc>
        <w:tc>
          <w:tcPr>
            <w:tcW w:w="3559" w:type="dxa"/>
            <w:vAlign w:val="center"/>
          </w:tcPr>
          <w:p w14:paraId="745EB73D">
            <w:pPr>
              <w:jc w:val="center"/>
              <w:rPr>
                <w:rFonts w:ascii="Times New Roman" w:hAnsi="Times New Roman"/>
                <w:szCs w:val="21"/>
              </w:rPr>
            </w:pPr>
            <w:r>
              <w:rPr>
                <w:rFonts w:ascii="Times New Roman" w:hAnsi="Times New Roman"/>
                <w:szCs w:val="21"/>
              </w:rPr>
              <w:t>甲方（</w:t>
            </w:r>
            <w:r>
              <w:rPr>
                <w:rFonts w:hint="eastAsia" w:ascii="Times New Roman" w:hAnsi="Times New Roman"/>
                <w:szCs w:val="21"/>
              </w:rPr>
              <w:t>合同专用章</w:t>
            </w:r>
            <w:r>
              <w:rPr>
                <w:rFonts w:ascii="Times New Roman" w:hAnsi="Times New Roman"/>
                <w:szCs w:val="21"/>
              </w:rPr>
              <w:t>）</w:t>
            </w:r>
          </w:p>
        </w:tc>
        <w:tc>
          <w:tcPr>
            <w:tcW w:w="4771" w:type="dxa"/>
            <w:vAlign w:val="center"/>
          </w:tcPr>
          <w:p w14:paraId="3FDEF0F6">
            <w:pPr>
              <w:jc w:val="center"/>
              <w:rPr>
                <w:rFonts w:ascii="Times New Roman" w:hAnsi="Times New Roman"/>
                <w:szCs w:val="21"/>
              </w:rPr>
            </w:pPr>
            <w:r>
              <w:rPr>
                <w:rFonts w:ascii="Times New Roman" w:hAnsi="Times New Roman"/>
                <w:szCs w:val="21"/>
              </w:rPr>
              <w:t>乙方</w:t>
            </w:r>
            <w:r>
              <w:rPr>
                <w:rFonts w:hint="eastAsia" w:ascii="Times New Roman" w:hAnsi="Times New Roman"/>
                <w:szCs w:val="21"/>
              </w:rPr>
              <w:t>（合同专用章或公章）</w:t>
            </w:r>
          </w:p>
        </w:tc>
      </w:tr>
      <w:tr w14:paraId="5B2BBE65">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777F3EC7">
            <w:pPr>
              <w:jc w:val="center"/>
              <w:rPr>
                <w:rFonts w:ascii="Times New Roman" w:hAnsi="Times New Roman"/>
                <w:szCs w:val="21"/>
              </w:rPr>
            </w:pPr>
            <w:r>
              <w:rPr>
                <w:rFonts w:ascii="Times New Roman" w:hAnsi="Times New Roman"/>
                <w:szCs w:val="21"/>
              </w:rPr>
              <w:t>单位名称</w:t>
            </w:r>
          </w:p>
        </w:tc>
        <w:tc>
          <w:tcPr>
            <w:tcW w:w="3559" w:type="dxa"/>
            <w:vAlign w:val="center"/>
          </w:tcPr>
          <w:p w14:paraId="2384FD7F">
            <w:pPr>
              <w:jc w:val="center"/>
              <w:rPr>
                <w:rFonts w:ascii="黑体" w:hAnsi="黑体" w:eastAsia="黑体"/>
                <w:szCs w:val="21"/>
              </w:rPr>
            </w:pPr>
            <w:r>
              <w:rPr>
                <w:rFonts w:ascii="黑体" w:hAnsi="黑体" w:eastAsia="黑体"/>
                <w:szCs w:val="21"/>
              </w:rPr>
              <w:t>中煤长江基础建设有限公司</w:t>
            </w:r>
          </w:p>
        </w:tc>
        <w:tc>
          <w:tcPr>
            <w:tcW w:w="4771" w:type="dxa"/>
            <w:vAlign w:val="center"/>
          </w:tcPr>
          <w:p w14:paraId="3B11E165">
            <w:pPr>
              <w:jc w:val="center"/>
              <w:rPr>
                <w:rFonts w:ascii="黑体" w:hAnsi="黑体" w:eastAsia="黑体"/>
                <w:szCs w:val="21"/>
              </w:rPr>
            </w:pPr>
          </w:p>
        </w:tc>
      </w:tr>
      <w:tr w14:paraId="72571835">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259403F9">
            <w:pPr>
              <w:jc w:val="center"/>
              <w:rPr>
                <w:rFonts w:ascii="Times New Roman" w:hAnsi="Times New Roman"/>
                <w:szCs w:val="21"/>
              </w:rPr>
            </w:pPr>
            <w:r>
              <w:rPr>
                <w:rFonts w:ascii="Times New Roman" w:hAnsi="Times New Roman"/>
                <w:szCs w:val="21"/>
              </w:rPr>
              <w:t xml:space="preserve">地   </w:t>
            </w:r>
            <w:r>
              <w:rPr>
                <w:rFonts w:hint="eastAsia" w:ascii="Times New Roman" w:hAnsi="Times New Roman"/>
                <w:szCs w:val="21"/>
              </w:rPr>
              <w:t xml:space="preserve"> </w:t>
            </w:r>
            <w:r>
              <w:rPr>
                <w:rFonts w:ascii="Times New Roman" w:hAnsi="Times New Roman"/>
                <w:szCs w:val="21"/>
              </w:rPr>
              <w:t xml:space="preserve"> 址</w:t>
            </w:r>
          </w:p>
        </w:tc>
        <w:tc>
          <w:tcPr>
            <w:tcW w:w="3559" w:type="dxa"/>
            <w:vAlign w:val="center"/>
          </w:tcPr>
          <w:p w14:paraId="71290A0D">
            <w:pPr>
              <w:jc w:val="center"/>
              <w:rPr>
                <w:rFonts w:ascii="黑体" w:hAnsi="黑体" w:eastAsia="黑体"/>
                <w:szCs w:val="21"/>
              </w:rPr>
            </w:pPr>
          </w:p>
        </w:tc>
        <w:tc>
          <w:tcPr>
            <w:tcW w:w="4771" w:type="dxa"/>
            <w:vAlign w:val="center"/>
          </w:tcPr>
          <w:p w14:paraId="3391E37C">
            <w:pPr>
              <w:jc w:val="center"/>
              <w:rPr>
                <w:rFonts w:ascii="黑体" w:hAnsi="黑体" w:eastAsia="黑体"/>
                <w:szCs w:val="21"/>
              </w:rPr>
            </w:pPr>
          </w:p>
        </w:tc>
      </w:tr>
      <w:tr w14:paraId="3D39D857">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6298FB3D">
            <w:pPr>
              <w:jc w:val="center"/>
              <w:rPr>
                <w:rFonts w:ascii="Times New Roman" w:hAnsi="Times New Roman"/>
                <w:szCs w:val="21"/>
              </w:rPr>
            </w:pPr>
            <w:r>
              <w:rPr>
                <w:rFonts w:ascii="Times New Roman" w:hAnsi="Times New Roman"/>
                <w:szCs w:val="21"/>
              </w:rPr>
              <w:t>法定代表人</w:t>
            </w:r>
          </w:p>
        </w:tc>
        <w:tc>
          <w:tcPr>
            <w:tcW w:w="3559" w:type="dxa"/>
            <w:vAlign w:val="center"/>
          </w:tcPr>
          <w:p w14:paraId="2EB2D1D0">
            <w:pPr>
              <w:jc w:val="center"/>
              <w:rPr>
                <w:rFonts w:ascii="黑体" w:hAnsi="黑体" w:eastAsia="黑体"/>
                <w:szCs w:val="21"/>
              </w:rPr>
            </w:pPr>
          </w:p>
        </w:tc>
        <w:tc>
          <w:tcPr>
            <w:tcW w:w="4771" w:type="dxa"/>
            <w:vAlign w:val="center"/>
          </w:tcPr>
          <w:p w14:paraId="2C966A0A">
            <w:pPr>
              <w:jc w:val="center"/>
              <w:rPr>
                <w:rFonts w:ascii="黑体" w:hAnsi="黑体" w:eastAsia="黑体"/>
                <w:szCs w:val="21"/>
              </w:rPr>
            </w:pPr>
          </w:p>
        </w:tc>
      </w:tr>
      <w:tr w14:paraId="7C93F81B">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72292399">
            <w:pPr>
              <w:jc w:val="center"/>
              <w:rPr>
                <w:rFonts w:ascii="Times New Roman" w:hAnsi="Times New Roman"/>
                <w:szCs w:val="21"/>
              </w:rPr>
            </w:pPr>
            <w:r>
              <w:rPr>
                <w:rFonts w:hint="eastAsia" w:ascii="Times New Roman" w:hAnsi="Times New Roman"/>
                <w:szCs w:val="21"/>
              </w:rPr>
              <w:t>签约</w:t>
            </w:r>
            <w:r>
              <w:rPr>
                <w:rFonts w:ascii="Times New Roman" w:hAnsi="Times New Roman"/>
                <w:szCs w:val="21"/>
              </w:rPr>
              <w:t>代表</w:t>
            </w:r>
          </w:p>
        </w:tc>
        <w:tc>
          <w:tcPr>
            <w:tcW w:w="3559" w:type="dxa"/>
            <w:vAlign w:val="center"/>
          </w:tcPr>
          <w:p w14:paraId="60690C19">
            <w:pPr>
              <w:jc w:val="center"/>
              <w:rPr>
                <w:rFonts w:ascii="黑体" w:hAnsi="黑体" w:eastAsia="黑体"/>
                <w:szCs w:val="21"/>
              </w:rPr>
            </w:pPr>
          </w:p>
        </w:tc>
        <w:tc>
          <w:tcPr>
            <w:tcW w:w="4771" w:type="dxa"/>
            <w:vAlign w:val="center"/>
          </w:tcPr>
          <w:p w14:paraId="124BF00F">
            <w:pPr>
              <w:jc w:val="center"/>
              <w:rPr>
                <w:rFonts w:ascii="黑体" w:hAnsi="黑体" w:eastAsia="黑体"/>
                <w:szCs w:val="21"/>
              </w:rPr>
            </w:pPr>
          </w:p>
        </w:tc>
      </w:tr>
      <w:tr w14:paraId="3E1CC1CC">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7941FAB2">
            <w:pPr>
              <w:jc w:val="center"/>
              <w:rPr>
                <w:rFonts w:ascii="Times New Roman" w:hAnsi="Times New Roman"/>
                <w:szCs w:val="21"/>
              </w:rPr>
            </w:pPr>
            <w:r>
              <w:rPr>
                <w:rFonts w:ascii="Times New Roman" w:hAnsi="Times New Roman"/>
                <w:szCs w:val="21"/>
              </w:rPr>
              <w:t>联系电话</w:t>
            </w:r>
          </w:p>
        </w:tc>
        <w:tc>
          <w:tcPr>
            <w:tcW w:w="3559" w:type="dxa"/>
            <w:vAlign w:val="center"/>
          </w:tcPr>
          <w:p w14:paraId="3BF82F32">
            <w:pPr>
              <w:jc w:val="center"/>
              <w:rPr>
                <w:rFonts w:ascii="黑体" w:hAnsi="黑体" w:eastAsia="黑体"/>
                <w:szCs w:val="21"/>
              </w:rPr>
            </w:pPr>
          </w:p>
        </w:tc>
        <w:tc>
          <w:tcPr>
            <w:tcW w:w="4771" w:type="dxa"/>
            <w:vAlign w:val="center"/>
          </w:tcPr>
          <w:p w14:paraId="2BA6A81B">
            <w:pPr>
              <w:jc w:val="center"/>
              <w:rPr>
                <w:rFonts w:ascii="黑体" w:hAnsi="黑体" w:eastAsia="黑体"/>
                <w:szCs w:val="21"/>
              </w:rPr>
            </w:pPr>
          </w:p>
        </w:tc>
      </w:tr>
      <w:tr w14:paraId="6D55FE97">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176580E6">
            <w:pPr>
              <w:jc w:val="center"/>
              <w:rPr>
                <w:rFonts w:ascii="Times New Roman" w:hAnsi="Times New Roman"/>
                <w:szCs w:val="21"/>
              </w:rPr>
            </w:pPr>
            <w:r>
              <w:rPr>
                <w:rFonts w:ascii="Times New Roman" w:hAnsi="Times New Roman"/>
                <w:szCs w:val="21"/>
              </w:rPr>
              <w:t>纳税人身份</w:t>
            </w:r>
          </w:p>
        </w:tc>
        <w:tc>
          <w:tcPr>
            <w:tcW w:w="3559" w:type="dxa"/>
            <w:vAlign w:val="center"/>
          </w:tcPr>
          <w:p w14:paraId="58F74F5C">
            <w:pPr>
              <w:jc w:val="center"/>
              <w:rPr>
                <w:rFonts w:ascii="黑体" w:hAnsi="黑体" w:eastAsia="黑体"/>
                <w:szCs w:val="21"/>
              </w:rPr>
            </w:pPr>
          </w:p>
        </w:tc>
        <w:tc>
          <w:tcPr>
            <w:tcW w:w="4771" w:type="dxa"/>
            <w:vAlign w:val="center"/>
          </w:tcPr>
          <w:p w14:paraId="4CFAB227">
            <w:pPr>
              <w:jc w:val="center"/>
              <w:rPr>
                <w:rFonts w:ascii="黑体" w:hAnsi="黑体" w:eastAsia="黑体"/>
                <w:szCs w:val="21"/>
              </w:rPr>
            </w:pPr>
          </w:p>
        </w:tc>
      </w:tr>
      <w:tr w14:paraId="14F152BC">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35A357F1">
            <w:pPr>
              <w:jc w:val="center"/>
              <w:rPr>
                <w:rFonts w:ascii="Times New Roman" w:hAnsi="Times New Roman"/>
                <w:szCs w:val="21"/>
              </w:rPr>
            </w:pPr>
            <w:r>
              <w:rPr>
                <w:rFonts w:eastAsiaTheme="minorEastAsia"/>
              </w:rPr>
              <w:t>营业执照编号</w:t>
            </w:r>
          </w:p>
        </w:tc>
        <w:tc>
          <w:tcPr>
            <w:tcW w:w="3559" w:type="dxa"/>
            <w:vAlign w:val="center"/>
          </w:tcPr>
          <w:p w14:paraId="487E729F">
            <w:pPr>
              <w:jc w:val="center"/>
              <w:rPr>
                <w:rFonts w:ascii="黑体" w:hAnsi="黑体" w:eastAsia="黑体"/>
                <w:szCs w:val="21"/>
              </w:rPr>
            </w:pPr>
          </w:p>
        </w:tc>
        <w:tc>
          <w:tcPr>
            <w:tcW w:w="4771" w:type="dxa"/>
            <w:vAlign w:val="center"/>
          </w:tcPr>
          <w:p w14:paraId="5D0BBD11">
            <w:pPr>
              <w:jc w:val="center"/>
              <w:rPr>
                <w:rFonts w:ascii="黑体" w:hAnsi="黑体" w:eastAsia="黑体"/>
                <w:szCs w:val="21"/>
              </w:rPr>
            </w:pPr>
          </w:p>
        </w:tc>
      </w:tr>
      <w:tr w14:paraId="1E18E4C7">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0920192A">
            <w:pPr>
              <w:jc w:val="center"/>
              <w:rPr>
                <w:rFonts w:ascii="Times New Roman" w:hAnsi="Times New Roman"/>
                <w:szCs w:val="21"/>
              </w:rPr>
            </w:pPr>
            <w:r>
              <w:rPr>
                <w:rFonts w:ascii="Times New Roman" w:hAnsi="Times New Roman"/>
                <w:szCs w:val="21"/>
              </w:rPr>
              <w:t>纳税人识别号</w:t>
            </w:r>
          </w:p>
        </w:tc>
        <w:tc>
          <w:tcPr>
            <w:tcW w:w="3559" w:type="dxa"/>
            <w:vAlign w:val="center"/>
          </w:tcPr>
          <w:p w14:paraId="033EB5D2">
            <w:pPr>
              <w:jc w:val="center"/>
              <w:rPr>
                <w:rFonts w:ascii="黑体" w:hAnsi="黑体" w:eastAsia="黑体"/>
                <w:szCs w:val="21"/>
              </w:rPr>
            </w:pPr>
          </w:p>
        </w:tc>
        <w:tc>
          <w:tcPr>
            <w:tcW w:w="4771" w:type="dxa"/>
            <w:vAlign w:val="center"/>
          </w:tcPr>
          <w:p w14:paraId="2EE96164">
            <w:pPr>
              <w:jc w:val="center"/>
              <w:rPr>
                <w:rFonts w:ascii="黑体" w:hAnsi="黑体" w:eastAsia="黑体"/>
                <w:szCs w:val="21"/>
              </w:rPr>
            </w:pPr>
          </w:p>
        </w:tc>
      </w:tr>
      <w:tr w14:paraId="232532D4">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043E4595">
            <w:pPr>
              <w:jc w:val="center"/>
              <w:rPr>
                <w:rFonts w:ascii="Times New Roman" w:hAnsi="Times New Roman"/>
                <w:szCs w:val="21"/>
              </w:rPr>
            </w:pPr>
            <w:r>
              <w:rPr>
                <w:rFonts w:ascii="Times New Roman" w:hAnsi="Times New Roman"/>
                <w:szCs w:val="21"/>
              </w:rPr>
              <w:t>开 户 行</w:t>
            </w:r>
          </w:p>
        </w:tc>
        <w:tc>
          <w:tcPr>
            <w:tcW w:w="3559" w:type="dxa"/>
            <w:vAlign w:val="center"/>
          </w:tcPr>
          <w:p w14:paraId="33D22539">
            <w:pPr>
              <w:jc w:val="center"/>
              <w:rPr>
                <w:rFonts w:ascii="黑体" w:hAnsi="黑体" w:eastAsia="黑体"/>
                <w:szCs w:val="21"/>
              </w:rPr>
            </w:pPr>
          </w:p>
        </w:tc>
        <w:tc>
          <w:tcPr>
            <w:tcW w:w="4771" w:type="dxa"/>
            <w:vAlign w:val="center"/>
          </w:tcPr>
          <w:p w14:paraId="2E52EF8B">
            <w:pPr>
              <w:jc w:val="center"/>
              <w:rPr>
                <w:rFonts w:ascii="黑体" w:hAnsi="黑体" w:eastAsia="黑体"/>
                <w:szCs w:val="21"/>
              </w:rPr>
            </w:pPr>
          </w:p>
        </w:tc>
      </w:tr>
      <w:tr w14:paraId="7B9C9078">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2C7459FA">
            <w:pPr>
              <w:jc w:val="center"/>
              <w:rPr>
                <w:rFonts w:ascii="Times New Roman" w:hAnsi="Times New Roman"/>
                <w:szCs w:val="21"/>
              </w:rPr>
            </w:pPr>
            <w:r>
              <w:rPr>
                <w:rFonts w:ascii="Times New Roman" w:hAnsi="Times New Roman"/>
                <w:szCs w:val="21"/>
              </w:rPr>
              <w:t>账    号</w:t>
            </w:r>
          </w:p>
        </w:tc>
        <w:tc>
          <w:tcPr>
            <w:tcW w:w="3559" w:type="dxa"/>
            <w:vAlign w:val="center"/>
          </w:tcPr>
          <w:p w14:paraId="7F0595E0">
            <w:pPr>
              <w:jc w:val="center"/>
              <w:rPr>
                <w:rFonts w:ascii="黑体" w:hAnsi="黑体" w:eastAsia="黑体"/>
                <w:szCs w:val="21"/>
              </w:rPr>
            </w:pPr>
          </w:p>
        </w:tc>
        <w:tc>
          <w:tcPr>
            <w:tcW w:w="4771" w:type="dxa"/>
            <w:vAlign w:val="center"/>
          </w:tcPr>
          <w:p w14:paraId="16686846">
            <w:pPr>
              <w:jc w:val="center"/>
              <w:rPr>
                <w:rFonts w:ascii="黑体" w:hAnsi="黑体" w:eastAsia="黑体"/>
                <w:szCs w:val="21"/>
              </w:rPr>
            </w:pPr>
          </w:p>
        </w:tc>
      </w:tr>
      <w:tr w14:paraId="64C40DD5">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09908EDE">
            <w:pPr>
              <w:jc w:val="center"/>
              <w:rPr>
                <w:rFonts w:ascii="Times New Roman" w:hAnsi="Times New Roman"/>
                <w:szCs w:val="21"/>
              </w:rPr>
            </w:pPr>
            <w:r>
              <w:rPr>
                <w:rFonts w:eastAsiaTheme="minorEastAsia"/>
              </w:rPr>
              <w:t>联</w:t>
            </w:r>
            <w:r>
              <w:t xml:space="preserve"> </w:t>
            </w:r>
            <w:r>
              <w:rPr>
                <w:rFonts w:eastAsiaTheme="minorEastAsia"/>
              </w:rPr>
              <w:t>行</w:t>
            </w:r>
            <w:r>
              <w:t xml:space="preserve"> </w:t>
            </w:r>
            <w:r>
              <w:rPr>
                <w:rFonts w:eastAsiaTheme="minorEastAsia"/>
              </w:rPr>
              <w:t>号</w:t>
            </w:r>
          </w:p>
        </w:tc>
        <w:tc>
          <w:tcPr>
            <w:tcW w:w="3559" w:type="dxa"/>
            <w:vAlign w:val="center"/>
          </w:tcPr>
          <w:p w14:paraId="4B55A781">
            <w:pPr>
              <w:jc w:val="center"/>
              <w:rPr>
                <w:rFonts w:ascii="黑体" w:hAnsi="黑体" w:eastAsia="黑体"/>
                <w:szCs w:val="21"/>
              </w:rPr>
            </w:pPr>
          </w:p>
        </w:tc>
        <w:tc>
          <w:tcPr>
            <w:tcW w:w="4771" w:type="dxa"/>
            <w:vAlign w:val="center"/>
          </w:tcPr>
          <w:p w14:paraId="0F0DC0CE">
            <w:pPr>
              <w:jc w:val="center"/>
              <w:rPr>
                <w:rFonts w:ascii="Arial" w:hAnsi="Arial" w:cs="Arial" w:eastAsiaTheme="majorEastAsia"/>
                <w:color w:val="333333"/>
                <w:szCs w:val="32"/>
              </w:rPr>
            </w:pPr>
          </w:p>
        </w:tc>
      </w:tr>
      <w:tr w14:paraId="756703DB">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31830ABF">
            <w:pPr>
              <w:jc w:val="center"/>
              <w:rPr>
                <w:rFonts w:ascii="Times New Roman" w:hAnsi="Times New Roman"/>
                <w:szCs w:val="21"/>
              </w:rPr>
            </w:pPr>
            <w:r>
              <w:rPr>
                <w:rFonts w:ascii="Times New Roman" w:hAnsi="Times New Roman"/>
                <w:szCs w:val="21"/>
              </w:rPr>
              <w:t>电    话</w:t>
            </w:r>
          </w:p>
        </w:tc>
        <w:tc>
          <w:tcPr>
            <w:tcW w:w="3559" w:type="dxa"/>
            <w:vAlign w:val="center"/>
          </w:tcPr>
          <w:p w14:paraId="6DCD29A5">
            <w:pPr>
              <w:jc w:val="center"/>
              <w:rPr>
                <w:rFonts w:ascii="黑体" w:hAnsi="黑体" w:eastAsia="黑体"/>
                <w:szCs w:val="21"/>
              </w:rPr>
            </w:pPr>
          </w:p>
        </w:tc>
        <w:tc>
          <w:tcPr>
            <w:tcW w:w="4771" w:type="dxa"/>
            <w:vAlign w:val="center"/>
          </w:tcPr>
          <w:p w14:paraId="50FBF092">
            <w:pPr>
              <w:jc w:val="center"/>
              <w:rPr>
                <w:rFonts w:ascii="黑体" w:hAnsi="黑体" w:eastAsia="黑体"/>
                <w:szCs w:val="21"/>
              </w:rPr>
            </w:pPr>
          </w:p>
        </w:tc>
      </w:tr>
      <w:tr w14:paraId="2E5B4395">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3928D9FE">
            <w:pPr>
              <w:jc w:val="center"/>
              <w:rPr>
                <w:rFonts w:ascii="Times New Roman" w:hAnsi="Times New Roman"/>
                <w:szCs w:val="21"/>
              </w:rPr>
            </w:pPr>
            <w:r>
              <w:rPr>
                <w:rFonts w:ascii="Times New Roman" w:hAnsi="Times New Roman"/>
                <w:szCs w:val="21"/>
              </w:rPr>
              <w:t>签订日期</w:t>
            </w:r>
          </w:p>
        </w:tc>
        <w:tc>
          <w:tcPr>
            <w:tcW w:w="8330" w:type="dxa"/>
            <w:gridSpan w:val="2"/>
            <w:vAlign w:val="center"/>
          </w:tcPr>
          <w:p w14:paraId="50CD63B4">
            <w:pPr>
              <w:jc w:val="center"/>
              <w:rPr>
                <w:rFonts w:ascii="黑体" w:hAnsi="黑体" w:eastAsia="黑体"/>
                <w:szCs w:val="21"/>
              </w:rPr>
            </w:pPr>
            <w:r>
              <w:rPr>
                <w:rFonts w:hint="eastAsia" w:ascii="黑体" w:hAnsi="黑体" w:eastAsia="黑体"/>
                <w:szCs w:val="21"/>
              </w:rPr>
              <w:t>年    月    日</w:t>
            </w:r>
          </w:p>
        </w:tc>
      </w:tr>
      <w:tr w14:paraId="165626CB">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340" w:hRule="atLeast"/>
          <w:jc w:val="center"/>
        </w:trPr>
        <w:tc>
          <w:tcPr>
            <w:tcW w:w="1656" w:type="dxa"/>
            <w:vAlign w:val="center"/>
          </w:tcPr>
          <w:p w14:paraId="739F102E">
            <w:pPr>
              <w:jc w:val="center"/>
              <w:rPr>
                <w:rFonts w:ascii="Times New Roman" w:hAnsi="Times New Roman"/>
                <w:szCs w:val="21"/>
              </w:rPr>
            </w:pPr>
            <w:r>
              <w:rPr>
                <w:rFonts w:ascii="Times New Roman" w:hAnsi="Times New Roman"/>
                <w:szCs w:val="21"/>
              </w:rPr>
              <w:t>签订地点</w:t>
            </w:r>
          </w:p>
        </w:tc>
        <w:tc>
          <w:tcPr>
            <w:tcW w:w="8330" w:type="dxa"/>
            <w:gridSpan w:val="2"/>
            <w:vAlign w:val="center"/>
          </w:tcPr>
          <w:p w14:paraId="5528F48F">
            <w:pPr>
              <w:jc w:val="center"/>
              <w:rPr>
                <w:rFonts w:ascii="黑体" w:hAnsi="黑体" w:eastAsia="黑体"/>
                <w:szCs w:val="21"/>
              </w:rPr>
            </w:pPr>
          </w:p>
        </w:tc>
      </w:tr>
    </w:tbl>
    <w:p w14:paraId="77484462">
      <w:pPr>
        <w:spacing w:line="240" w:lineRule="exact"/>
        <w:rPr>
          <w:rFonts w:ascii="Times New Roman" w:hAnsi="Times New Roman"/>
          <w:sz w:val="24"/>
        </w:rPr>
      </w:pPr>
    </w:p>
    <w:p w14:paraId="4520D7E4">
      <w:pPr>
        <w:spacing w:line="440" w:lineRule="exact"/>
        <w:rPr>
          <w:rFonts w:ascii="Times New Roman" w:hAnsi="Times New Roman"/>
          <w:sz w:val="24"/>
        </w:rPr>
        <w:sectPr>
          <w:footerReference r:id="rId3" w:type="default"/>
          <w:pgSz w:w="11906" w:h="16838"/>
          <w:pgMar w:top="1020" w:right="1191" w:bottom="1191" w:left="1191" w:header="680" w:footer="680" w:gutter="0"/>
          <w:cols w:space="720" w:num="1"/>
          <w:docGrid w:type="linesAndChars" w:linePitch="312" w:charSpace="0"/>
        </w:sectPr>
      </w:pPr>
    </w:p>
    <w:p w14:paraId="1568595B">
      <w:pPr>
        <w:jc w:val="both"/>
        <w:textAlignment w:val="center"/>
        <w:rPr>
          <w:rFonts w:hint="eastAsia" w:ascii="仿宋" w:hAnsi="仿宋" w:eastAsia="仿宋" w:cs="仿宋"/>
          <w:sz w:val="48"/>
          <w:szCs w:val="48"/>
          <w:lang w:val="en-US" w:eastAsia="zh-CN"/>
        </w:rPr>
      </w:pPr>
    </w:p>
    <w:p w14:paraId="536D84E8">
      <w:pPr>
        <w:jc w:val="center"/>
        <w:textAlignment w:val="center"/>
        <w:rPr>
          <w:rFonts w:hint="eastAsia" w:ascii="仿宋" w:hAnsi="仿宋" w:eastAsia="仿宋" w:cs="仿宋"/>
          <w:sz w:val="48"/>
          <w:szCs w:val="48"/>
          <w:u w:val="none"/>
          <w:lang w:val="en-US" w:eastAsia="zh-CN"/>
        </w:rPr>
      </w:pPr>
      <w:r>
        <w:rPr>
          <w:rFonts w:hint="eastAsia" w:ascii="仿宋" w:hAnsi="仿宋" w:eastAsia="仿宋" w:cs="仿宋"/>
          <w:sz w:val="48"/>
          <w:szCs w:val="48"/>
          <w:lang w:val="en-US" w:eastAsia="zh-CN"/>
        </w:rPr>
        <w:t>南京地铁宁扬线土建工程DS5-TA02标机</w:t>
      </w:r>
      <w:r>
        <w:rPr>
          <w:rFonts w:hint="eastAsia" w:ascii="仿宋" w:hAnsi="仿宋" w:eastAsia="仿宋" w:cs="仿宋"/>
          <w:sz w:val="48"/>
          <w:szCs w:val="48"/>
          <w:u w:val="none"/>
          <w:lang w:val="en-US" w:eastAsia="zh-CN"/>
        </w:rPr>
        <w:t>械成孔灌注桩及加固工程</w:t>
      </w:r>
    </w:p>
    <w:p w14:paraId="766D8C48">
      <w:pPr>
        <w:jc w:val="center"/>
        <w:textAlignment w:val="center"/>
        <w:rPr>
          <w:rFonts w:hint="eastAsia" w:ascii="仿宋" w:hAnsi="仿宋" w:eastAsia="仿宋" w:cs="仿宋"/>
          <w:sz w:val="48"/>
          <w:szCs w:val="48"/>
          <w:lang w:eastAsia="zh-CN"/>
        </w:rPr>
      </w:pPr>
      <w:r>
        <w:rPr>
          <w:rFonts w:hint="eastAsia" w:ascii="仿宋" w:hAnsi="仿宋" w:eastAsia="仿宋" w:cs="仿宋"/>
          <w:snapToGrid/>
          <w:color w:val="333333"/>
          <w:sz w:val="48"/>
          <w:szCs w:val="48"/>
          <w:highlight w:val="none"/>
          <w:u w:val="none"/>
          <w:lang w:val="en-US" w:eastAsia="zh-CN"/>
        </w:rPr>
        <w:t>旋挖机设备租赁</w:t>
      </w:r>
      <w:r>
        <w:rPr>
          <w:rFonts w:hint="eastAsia" w:ascii="仿宋" w:hAnsi="仿宋" w:eastAsia="仿宋" w:cs="仿宋"/>
          <w:sz w:val="48"/>
          <w:szCs w:val="48"/>
          <w:u w:val="none"/>
          <w:lang w:eastAsia="zh-CN"/>
        </w:rPr>
        <w:t xml:space="preserve"> </w:t>
      </w:r>
      <w:r>
        <w:rPr>
          <w:rFonts w:hint="eastAsia" w:ascii="仿宋" w:hAnsi="仿宋" w:eastAsia="仿宋" w:cs="仿宋"/>
          <w:sz w:val="48"/>
          <w:szCs w:val="48"/>
          <w:lang w:eastAsia="zh-CN"/>
        </w:rPr>
        <w:t xml:space="preserve">    </w:t>
      </w:r>
    </w:p>
    <w:p w14:paraId="6C826931">
      <w:pPr>
        <w:jc w:val="center"/>
        <w:textAlignment w:val="center"/>
        <w:rPr>
          <w:rFonts w:hint="eastAsia" w:ascii="仿宋" w:hAnsi="仿宋" w:eastAsia="仿宋" w:cs="仿宋"/>
          <w:sz w:val="48"/>
          <w:szCs w:val="48"/>
        </w:rPr>
      </w:pPr>
      <w:r>
        <w:rPr>
          <w:rFonts w:hint="eastAsia" w:ascii="仿宋" w:hAnsi="仿宋" w:eastAsia="仿宋" w:cs="仿宋"/>
          <w:sz w:val="48"/>
          <w:szCs w:val="48"/>
          <w:lang w:eastAsia="zh-CN"/>
        </w:rPr>
        <w:t>响应</w:t>
      </w:r>
      <w:r>
        <w:rPr>
          <w:rFonts w:hint="eastAsia" w:ascii="仿宋" w:hAnsi="仿宋" w:eastAsia="仿宋" w:cs="仿宋"/>
          <w:sz w:val="48"/>
          <w:szCs w:val="48"/>
        </w:rPr>
        <w:t>文件</w:t>
      </w:r>
    </w:p>
    <w:p w14:paraId="342AB9EC">
      <w:pPr>
        <w:pStyle w:val="8"/>
        <w:rPr>
          <w:rFonts w:hint="eastAsia" w:ascii="仿宋" w:hAnsi="仿宋" w:eastAsia="仿宋" w:cs="仿宋"/>
        </w:rPr>
      </w:pPr>
    </w:p>
    <w:p w14:paraId="32253DB9">
      <w:pPr>
        <w:pStyle w:val="8"/>
        <w:rPr>
          <w:rFonts w:hint="eastAsia" w:ascii="仿宋" w:hAnsi="仿宋" w:eastAsia="仿宋" w:cs="仿宋"/>
        </w:rPr>
      </w:pPr>
    </w:p>
    <w:p w14:paraId="2FB96DE8">
      <w:pPr>
        <w:rPr>
          <w:rFonts w:hint="eastAsia" w:ascii="仿宋" w:hAnsi="仿宋" w:eastAsia="仿宋" w:cs="仿宋"/>
        </w:rPr>
      </w:pPr>
    </w:p>
    <w:p w14:paraId="46C32596">
      <w:pPr>
        <w:rPr>
          <w:rFonts w:hint="eastAsia" w:ascii="仿宋" w:hAnsi="仿宋" w:eastAsia="仿宋" w:cs="仿宋"/>
        </w:rPr>
      </w:pPr>
    </w:p>
    <w:p w14:paraId="3EF8B6F6">
      <w:pPr>
        <w:rPr>
          <w:rFonts w:hint="eastAsia" w:ascii="仿宋" w:hAnsi="仿宋" w:eastAsia="仿宋" w:cs="仿宋"/>
        </w:rPr>
      </w:pPr>
    </w:p>
    <w:p w14:paraId="5EA28086">
      <w:pPr>
        <w:rPr>
          <w:rFonts w:hint="eastAsia" w:ascii="仿宋" w:hAnsi="仿宋" w:eastAsia="仿宋" w:cs="仿宋"/>
        </w:rPr>
      </w:pPr>
    </w:p>
    <w:p w14:paraId="1ED50151">
      <w:pPr>
        <w:rPr>
          <w:rFonts w:hint="eastAsia" w:ascii="仿宋" w:hAnsi="仿宋" w:eastAsia="仿宋" w:cs="仿宋"/>
        </w:rPr>
      </w:pPr>
    </w:p>
    <w:p w14:paraId="5FBAA5D3">
      <w:pPr>
        <w:rPr>
          <w:rFonts w:hint="eastAsia" w:ascii="仿宋" w:hAnsi="仿宋" w:eastAsia="仿宋" w:cs="仿宋"/>
        </w:rPr>
      </w:pPr>
    </w:p>
    <w:p w14:paraId="44CFE09F">
      <w:pPr>
        <w:rPr>
          <w:rFonts w:hint="eastAsia" w:ascii="仿宋" w:hAnsi="仿宋" w:eastAsia="仿宋" w:cs="仿宋"/>
        </w:rPr>
      </w:pPr>
    </w:p>
    <w:p w14:paraId="139F269B">
      <w:pPr>
        <w:rPr>
          <w:rFonts w:hint="eastAsia" w:ascii="仿宋" w:hAnsi="仿宋" w:eastAsia="仿宋" w:cs="仿宋"/>
        </w:rPr>
      </w:pPr>
    </w:p>
    <w:p w14:paraId="69EE39B5">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 w:hAnsi="仿宋" w:eastAsia="仿宋" w:cs="仿宋"/>
          <w:b/>
          <w:bCs/>
          <w:sz w:val="32"/>
          <w:szCs w:val="32"/>
          <w:lang w:val="en-US" w:eastAsia="zh-CN"/>
        </w:rPr>
        <w:t>ZMCJ00CG20257006</w:t>
      </w:r>
    </w:p>
    <w:p w14:paraId="7BA64173">
      <w:pPr>
        <w:pStyle w:val="8"/>
        <w:rPr>
          <w:rFonts w:hint="eastAsia" w:ascii="仿宋" w:hAnsi="仿宋" w:eastAsia="仿宋" w:cs="仿宋"/>
          <w:bCs/>
          <w:sz w:val="32"/>
          <w:szCs w:val="32"/>
          <w:lang w:eastAsia="zh-CN"/>
        </w:rPr>
      </w:pPr>
    </w:p>
    <w:p w14:paraId="6C3F0CC5">
      <w:pPr>
        <w:rPr>
          <w:rFonts w:hint="eastAsia" w:ascii="仿宋" w:hAnsi="仿宋" w:eastAsia="仿宋" w:cs="仿宋"/>
          <w:bCs/>
          <w:sz w:val="32"/>
          <w:szCs w:val="32"/>
          <w:lang w:eastAsia="zh-CN"/>
        </w:rPr>
      </w:pPr>
    </w:p>
    <w:p w14:paraId="2046E411">
      <w:pPr>
        <w:pStyle w:val="8"/>
        <w:rPr>
          <w:rFonts w:hint="eastAsia" w:ascii="仿宋" w:hAnsi="仿宋" w:eastAsia="仿宋" w:cs="仿宋"/>
          <w:bCs/>
          <w:sz w:val="32"/>
          <w:szCs w:val="32"/>
          <w:lang w:eastAsia="zh-CN"/>
        </w:rPr>
      </w:pPr>
    </w:p>
    <w:p w14:paraId="6230A0FA">
      <w:pPr>
        <w:rPr>
          <w:rFonts w:hint="eastAsia" w:ascii="仿宋" w:hAnsi="仿宋" w:eastAsia="仿宋" w:cs="仿宋"/>
          <w:bCs/>
          <w:sz w:val="32"/>
          <w:szCs w:val="32"/>
          <w:lang w:eastAsia="zh-CN"/>
        </w:rPr>
      </w:pPr>
    </w:p>
    <w:p w14:paraId="148D3D33">
      <w:pPr>
        <w:pStyle w:val="8"/>
        <w:rPr>
          <w:rFonts w:hint="eastAsia" w:ascii="仿宋" w:hAnsi="仿宋" w:eastAsia="仿宋" w:cs="仿宋"/>
          <w:bCs/>
          <w:sz w:val="32"/>
          <w:szCs w:val="32"/>
          <w:lang w:eastAsia="zh-CN"/>
        </w:rPr>
      </w:pPr>
    </w:p>
    <w:p w14:paraId="75E6AE50">
      <w:pPr>
        <w:rPr>
          <w:rFonts w:hint="eastAsia" w:ascii="仿宋" w:hAnsi="仿宋" w:eastAsia="仿宋" w:cs="仿宋"/>
          <w:bCs/>
          <w:sz w:val="32"/>
          <w:szCs w:val="32"/>
          <w:lang w:eastAsia="zh-CN"/>
        </w:rPr>
      </w:pPr>
    </w:p>
    <w:p w14:paraId="1C6FA719">
      <w:pPr>
        <w:pStyle w:val="8"/>
        <w:rPr>
          <w:rFonts w:hint="eastAsia" w:ascii="仿宋" w:hAnsi="仿宋" w:eastAsia="仿宋" w:cs="仿宋"/>
          <w:bCs/>
          <w:sz w:val="32"/>
          <w:szCs w:val="32"/>
          <w:lang w:eastAsia="zh-CN"/>
        </w:rPr>
      </w:pPr>
    </w:p>
    <w:p w14:paraId="6D49D074">
      <w:pPr>
        <w:rPr>
          <w:rFonts w:hint="eastAsia" w:ascii="仿宋" w:hAnsi="仿宋" w:eastAsia="仿宋" w:cs="仿宋"/>
          <w:bCs/>
          <w:sz w:val="32"/>
          <w:szCs w:val="32"/>
          <w:lang w:eastAsia="zh-CN"/>
        </w:rPr>
      </w:pPr>
    </w:p>
    <w:p w14:paraId="365EB76C">
      <w:pPr>
        <w:pStyle w:val="11"/>
        <w:ind w:firstLine="0" w:firstLineChars="0"/>
        <w:rPr>
          <w:rFonts w:hint="eastAsia" w:ascii="仿宋" w:hAnsi="仿宋" w:eastAsia="仿宋" w:cs="仿宋"/>
          <w:color w:val="auto"/>
          <w:sz w:val="44"/>
          <w:szCs w:val="44"/>
        </w:rPr>
      </w:pPr>
    </w:p>
    <w:p w14:paraId="4E9071A5">
      <w:pPr>
        <w:pStyle w:val="11"/>
        <w:ind w:firstLine="0" w:firstLineChars="0"/>
        <w:rPr>
          <w:rFonts w:hint="eastAsia" w:ascii="仿宋" w:hAnsi="仿宋" w:eastAsia="仿宋" w:cs="仿宋"/>
          <w:color w:val="auto"/>
          <w:sz w:val="44"/>
          <w:szCs w:val="44"/>
        </w:rPr>
      </w:pPr>
    </w:p>
    <w:p w14:paraId="4C19052B">
      <w:pPr>
        <w:pStyle w:val="11"/>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响应</w:t>
      </w:r>
      <w:r>
        <w:rPr>
          <w:rFonts w:hint="eastAsia" w:ascii="仿宋" w:hAnsi="仿宋" w:eastAsia="仿宋" w:cs="仿宋"/>
          <w:color w:val="auto"/>
          <w:sz w:val="32"/>
          <w:szCs w:val="32"/>
        </w:rPr>
        <w:t>单位：</w:t>
      </w:r>
    </w:p>
    <w:p w14:paraId="2A2738C5">
      <w:pPr>
        <w:pStyle w:val="11"/>
        <w:ind w:firstLine="320"/>
        <w:rPr>
          <w:rFonts w:hint="eastAsia" w:ascii="仿宋" w:hAnsi="仿宋" w:eastAsia="仿宋" w:cs="仿宋"/>
          <w:color w:val="auto"/>
          <w:sz w:val="32"/>
          <w:szCs w:val="32"/>
        </w:rPr>
      </w:pPr>
    </w:p>
    <w:p w14:paraId="063E63D9">
      <w:pPr>
        <w:ind w:firstLine="640" w:firstLineChars="200"/>
        <w:textAlignment w:val="center"/>
        <w:rPr>
          <w:rFonts w:hint="eastAsia" w:ascii="仿宋" w:hAnsi="仿宋" w:eastAsia="仿宋" w:cs="仿宋"/>
          <w:sz w:val="32"/>
          <w:szCs w:val="32"/>
          <w:lang w:val="en-US" w:eastAsia="zh-CN"/>
        </w:rPr>
      </w:pPr>
      <w:r>
        <w:rPr>
          <w:rFonts w:hint="eastAsia" w:ascii="仿宋" w:hAnsi="仿宋" w:eastAsia="仿宋" w:cs="仿宋"/>
          <w:sz w:val="32"/>
          <w:szCs w:val="32"/>
        </w:rPr>
        <w:t>联系人：</w:t>
      </w:r>
    </w:p>
    <w:p w14:paraId="66BAE0CE">
      <w:pPr>
        <w:pStyle w:val="8"/>
        <w:rPr>
          <w:rFonts w:hint="eastAsia" w:ascii="仿宋" w:hAnsi="仿宋" w:eastAsia="仿宋" w:cs="仿宋"/>
          <w:lang w:eastAsia="zh-CN"/>
        </w:rPr>
      </w:pPr>
      <w:r>
        <w:rPr>
          <w:rFonts w:hint="eastAsia" w:ascii="仿宋" w:hAnsi="仿宋" w:eastAsia="仿宋" w:cs="仿宋"/>
          <w:lang w:eastAsia="zh-CN"/>
        </w:rPr>
        <w:t xml:space="preserve">  </w:t>
      </w:r>
    </w:p>
    <w:p w14:paraId="24C9FF09">
      <w:pPr>
        <w:rPr>
          <w:rFonts w:hint="eastAsia" w:ascii="仿宋" w:hAnsi="仿宋" w:eastAsia="仿宋" w:cs="仿宋"/>
          <w:lang w:eastAsia="zh-CN"/>
        </w:rPr>
      </w:pPr>
    </w:p>
    <w:p w14:paraId="05D88FB5">
      <w:pPr>
        <w:pStyle w:val="11"/>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14:paraId="7C18F368">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14:paraId="22BF85B6">
      <w:pPr>
        <w:pStyle w:val="5"/>
        <w:spacing w:after="0" w:line="360" w:lineRule="auto"/>
        <w:ind w:left="0" w:firstLine="0"/>
        <w:jc w:val="both"/>
        <w:rPr>
          <w:rFonts w:hint="eastAsia" w:ascii="仿宋" w:hAnsi="仿宋" w:eastAsia="仿宋" w:cs="仿宋"/>
          <w:szCs w:val="28"/>
        </w:rPr>
      </w:pPr>
    </w:p>
    <w:p w14:paraId="7C3679AC">
      <w:pPr>
        <w:pStyle w:val="5"/>
        <w:spacing w:after="0" w:line="360" w:lineRule="auto"/>
        <w:ind w:left="0" w:firstLine="0"/>
        <w:jc w:val="both"/>
        <w:rPr>
          <w:rFonts w:hint="eastAsia" w:ascii="仿宋" w:hAnsi="仿宋" w:eastAsia="仿宋" w:cs="仿宋"/>
          <w:szCs w:val="28"/>
        </w:rPr>
      </w:pPr>
    </w:p>
    <w:p w14:paraId="24D46060">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14:paraId="3E4623B2">
      <w:pPr>
        <w:spacing w:line="360" w:lineRule="auto"/>
        <w:ind w:firstLine="400" w:firstLineChars="200"/>
        <w:rPr>
          <w:rFonts w:hint="eastAsia" w:ascii="仿宋" w:hAnsi="仿宋" w:eastAsia="仿宋" w:cs="仿宋"/>
          <w:sz w:val="20"/>
          <w:szCs w:val="20"/>
        </w:rPr>
      </w:pPr>
    </w:p>
    <w:p w14:paraId="307CB375">
      <w:pPr>
        <w:spacing w:line="360" w:lineRule="auto"/>
        <w:ind w:firstLine="560" w:firstLineChars="200"/>
        <w:rPr>
          <w:rFonts w:hint="eastAsia" w:ascii="仿宋" w:hAnsi="仿宋" w:eastAsia="仿宋" w:cs="仿宋"/>
          <w:sz w:val="28"/>
        </w:rPr>
      </w:pPr>
      <w:r>
        <w:rPr>
          <w:rFonts w:hint="eastAsia" w:ascii="仿宋" w:hAnsi="仿宋" w:eastAsia="仿宋" w:cs="仿宋"/>
          <w:sz w:val="28"/>
          <w:lang w:eastAsia="zh-CN"/>
        </w:rPr>
        <w:t>响应</w:t>
      </w:r>
      <w:r>
        <w:rPr>
          <w:rFonts w:hint="eastAsia" w:ascii="仿宋" w:hAnsi="仿宋" w:eastAsia="仿宋" w:cs="仿宋"/>
          <w:sz w:val="28"/>
        </w:rPr>
        <w:t>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14:paraId="04B40DF8">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14:paraId="48089484">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14:paraId="4F69FC90">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14:paraId="240B4E49">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14:paraId="06D3EBAB">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w:t>
      </w:r>
      <w:r>
        <w:rPr>
          <w:rFonts w:hint="eastAsia" w:ascii="仿宋" w:hAnsi="仿宋" w:eastAsia="仿宋" w:cs="仿宋"/>
          <w:sz w:val="28"/>
          <w:u w:val="single"/>
          <w:lang w:eastAsia="zh-CN"/>
        </w:rPr>
        <w:t>响应</w:t>
      </w:r>
      <w:r>
        <w:rPr>
          <w:rFonts w:hint="eastAsia" w:ascii="仿宋" w:hAnsi="仿宋" w:eastAsia="仿宋" w:cs="仿宋"/>
          <w:sz w:val="28"/>
          <w:u w:val="single"/>
        </w:rPr>
        <w:t>人名称）</w:t>
      </w:r>
      <w:r>
        <w:rPr>
          <w:rFonts w:hint="eastAsia" w:ascii="仿宋" w:hAnsi="仿宋" w:eastAsia="仿宋" w:cs="仿宋"/>
          <w:sz w:val="28"/>
        </w:rPr>
        <w:t>的法定代表人。</w:t>
      </w:r>
    </w:p>
    <w:p w14:paraId="595DB36C">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14:paraId="419B3C57">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14:paraId="712246C3">
      <w:pPr>
        <w:spacing w:line="360" w:lineRule="auto"/>
        <w:ind w:firstLine="560" w:firstLineChars="200"/>
        <w:rPr>
          <w:rFonts w:hint="eastAsia" w:ascii="仿宋" w:hAnsi="仿宋" w:eastAsia="仿宋" w:cs="仿宋"/>
          <w:sz w:val="28"/>
        </w:rPr>
      </w:pPr>
    </w:p>
    <w:p w14:paraId="62CFBC74">
      <w:pPr>
        <w:spacing w:line="360" w:lineRule="auto"/>
        <w:ind w:firstLine="560" w:firstLineChars="200"/>
        <w:rPr>
          <w:rFonts w:hint="eastAsia" w:ascii="仿宋" w:hAnsi="仿宋" w:eastAsia="仿宋" w:cs="仿宋"/>
          <w:sz w:val="28"/>
        </w:rPr>
      </w:pPr>
    </w:p>
    <w:p w14:paraId="4A40AEF4">
      <w:pPr>
        <w:spacing w:line="360" w:lineRule="auto"/>
        <w:ind w:firstLine="560" w:firstLineChars="200"/>
        <w:rPr>
          <w:rFonts w:hint="eastAsia" w:ascii="仿宋" w:hAnsi="仿宋" w:eastAsia="仿宋" w:cs="仿宋"/>
          <w:sz w:val="28"/>
        </w:rPr>
      </w:pPr>
    </w:p>
    <w:p w14:paraId="751586BB">
      <w:pPr>
        <w:spacing w:line="360" w:lineRule="auto"/>
        <w:ind w:firstLine="560" w:firstLineChars="200"/>
        <w:rPr>
          <w:rFonts w:hint="eastAsia" w:ascii="仿宋" w:hAnsi="仿宋" w:eastAsia="仿宋" w:cs="仿宋"/>
          <w:sz w:val="28"/>
        </w:rPr>
      </w:pPr>
    </w:p>
    <w:p w14:paraId="338C8693">
      <w:pPr>
        <w:spacing w:line="360" w:lineRule="auto"/>
        <w:ind w:firstLine="560" w:firstLineChars="200"/>
        <w:rPr>
          <w:rFonts w:hint="eastAsia" w:ascii="仿宋" w:hAnsi="仿宋" w:eastAsia="仿宋" w:cs="仿宋"/>
          <w:sz w:val="28"/>
        </w:rPr>
      </w:pPr>
    </w:p>
    <w:p w14:paraId="107468E7">
      <w:pPr>
        <w:spacing w:line="360" w:lineRule="auto"/>
        <w:ind w:firstLine="560" w:firstLineChars="200"/>
        <w:rPr>
          <w:rFonts w:hint="eastAsia" w:ascii="仿宋" w:hAnsi="仿宋" w:eastAsia="仿宋" w:cs="仿宋"/>
          <w:sz w:val="28"/>
        </w:rPr>
      </w:pPr>
    </w:p>
    <w:p w14:paraId="66C6F68A">
      <w:pPr>
        <w:spacing w:line="360" w:lineRule="auto"/>
        <w:ind w:firstLine="560" w:firstLineChars="200"/>
        <w:rPr>
          <w:rFonts w:hint="eastAsia" w:ascii="仿宋" w:hAnsi="仿宋" w:eastAsia="仿宋" w:cs="仿宋"/>
          <w:sz w:val="28"/>
        </w:rPr>
      </w:pPr>
    </w:p>
    <w:p w14:paraId="797110C0">
      <w:pPr>
        <w:spacing w:line="360" w:lineRule="auto"/>
        <w:rPr>
          <w:rFonts w:hint="eastAsia" w:ascii="仿宋" w:hAnsi="仿宋" w:eastAsia="仿宋" w:cs="仿宋"/>
          <w:sz w:val="28"/>
        </w:rPr>
      </w:pPr>
    </w:p>
    <w:p w14:paraId="131EA5E7">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lang w:eastAsia="zh-CN"/>
        </w:rPr>
        <w:t>响应</w:t>
      </w:r>
      <w:r>
        <w:rPr>
          <w:rFonts w:hint="eastAsia" w:ascii="仿宋" w:hAnsi="仿宋" w:eastAsia="仿宋" w:cs="仿宋"/>
          <w:sz w:val="28"/>
        </w:rPr>
        <w:t>人：</w:t>
      </w:r>
      <w:r>
        <w:rPr>
          <w:rFonts w:hint="eastAsia" w:ascii="仿宋" w:hAnsi="仿宋" w:eastAsia="仿宋" w:cs="仿宋"/>
          <w:sz w:val="28"/>
          <w:u w:val="single"/>
        </w:rPr>
        <w:t xml:space="preserve">               </w:t>
      </w:r>
      <w:r>
        <w:rPr>
          <w:rFonts w:hint="eastAsia" w:ascii="仿宋" w:hAnsi="仿宋" w:eastAsia="仿宋" w:cs="仿宋"/>
          <w:sz w:val="28"/>
        </w:rPr>
        <w:t>（盖单位章）</w:t>
      </w:r>
    </w:p>
    <w:p w14:paraId="2BD0CAF6">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14:paraId="5EB75E53">
      <w:pPr>
        <w:spacing w:line="360" w:lineRule="auto"/>
        <w:rPr>
          <w:rFonts w:hint="eastAsia" w:ascii="仿宋" w:hAnsi="仿宋" w:eastAsia="仿宋" w:cs="仿宋"/>
          <w:sz w:val="24"/>
        </w:rPr>
      </w:pPr>
    </w:p>
    <w:p w14:paraId="765324E9">
      <w:pPr>
        <w:spacing w:line="360" w:lineRule="auto"/>
        <w:rPr>
          <w:rFonts w:hint="eastAsia" w:ascii="仿宋" w:hAnsi="仿宋" w:eastAsia="仿宋" w:cs="仿宋"/>
          <w:b/>
          <w:bCs/>
          <w:sz w:val="24"/>
        </w:rPr>
      </w:pPr>
    </w:p>
    <w:p w14:paraId="3746C48B">
      <w:pPr>
        <w:spacing w:line="360" w:lineRule="auto"/>
        <w:rPr>
          <w:rFonts w:hint="eastAsia" w:ascii="仿宋" w:hAnsi="仿宋" w:eastAsia="仿宋" w:cs="仿宋"/>
          <w:b/>
          <w:bCs/>
          <w:sz w:val="24"/>
        </w:rPr>
      </w:pPr>
    </w:p>
    <w:p w14:paraId="07091815">
      <w:pPr>
        <w:spacing w:line="360" w:lineRule="auto"/>
        <w:rPr>
          <w:rFonts w:hint="eastAsia" w:ascii="仿宋" w:hAnsi="仿宋" w:eastAsia="仿宋" w:cs="仿宋"/>
          <w:b/>
          <w:bCs/>
          <w:sz w:val="24"/>
        </w:rPr>
      </w:pPr>
    </w:p>
    <w:p w14:paraId="577C64DE">
      <w:pPr>
        <w:spacing w:line="360" w:lineRule="auto"/>
        <w:rPr>
          <w:rFonts w:hint="eastAsia" w:ascii="仿宋" w:hAnsi="仿宋" w:eastAsia="仿宋" w:cs="仿宋"/>
          <w:b/>
          <w:bCs/>
          <w:sz w:val="24"/>
        </w:rPr>
      </w:pPr>
    </w:p>
    <w:p w14:paraId="6ABEB8BE">
      <w:pPr>
        <w:spacing w:line="360" w:lineRule="auto"/>
        <w:rPr>
          <w:rFonts w:hint="eastAsia" w:ascii="仿宋" w:hAnsi="仿宋" w:eastAsia="仿宋" w:cs="仿宋"/>
          <w:b/>
          <w:bCs/>
          <w:sz w:val="24"/>
        </w:rPr>
      </w:pPr>
    </w:p>
    <w:p w14:paraId="79F413CB">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14:paraId="597CE8AA">
      <w:pPr>
        <w:spacing w:line="360" w:lineRule="auto"/>
        <w:ind w:right="-20"/>
        <w:rPr>
          <w:rFonts w:hint="eastAsia" w:ascii="仿宋" w:hAnsi="仿宋" w:eastAsia="仿宋" w:cs="仿宋"/>
          <w:position w:val="-3"/>
          <w:sz w:val="24"/>
        </w:rPr>
      </w:pPr>
    </w:p>
    <w:p w14:paraId="5ACF2A2F">
      <w:pPr>
        <w:tabs>
          <w:tab w:val="left" w:pos="144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r>
        <w:rPr>
          <w:rFonts w:hint="eastAsia" w:ascii="仿宋" w:hAnsi="仿宋" w:eastAsia="仿宋" w:cs="仿宋"/>
          <w:sz w:val="24"/>
          <w:lang w:val="en-US" w:eastAsia="zh-CN"/>
        </w:rPr>
        <w:t>中煤长江基础建设有限公司</w:t>
      </w:r>
      <w:r>
        <w:rPr>
          <w:rFonts w:hint="eastAsia" w:ascii="仿宋" w:hAnsi="仿宋" w:eastAsia="仿宋" w:cs="仿宋"/>
          <w:sz w:val="24"/>
          <w:lang w:eastAsia="zh-CN"/>
        </w:rPr>
        <w:t xml:space="preserve">    </w:t>
      </w:r>
    </w:p>
    <w:p w14:paraId="5A8E1818">
      <w:pPr>
        <w:spacing w:line="360" w:lineRule="auto"/>
        <w:ind w:firstLine="480" w:firstLineChars="200"/>
        <w:jc w:val="left"/>
        <w:textAlignment w:val="center"/>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响应</w:t>
      </w:r>
      <w:r>
        <w:rPr>
          <w:rFonts w:hint="eastAsia" w:ascii="仿宋" w:hAnsi="仿宋" w:eastAsia="仿宋" w:cs="仿宋"/>
          <w:sz w:val="24"/>
        </w:rPr>
        <w:t>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w:t>
      </w:r>
      <w:r>
        <w:rPr>
          <w:rFonts w:hint="eastAsia" w:ascii="仿宋" w:hAnsi="仿宋" w:eastAsia="仿宋" w:cs="仿宋"/>
          <w:sz w:val="24"/>
          <w:lang w:eastAsia="zh-CN"/>
        </w:rPr>
        <w:t>响应</w:t>
      </w:r>
      <w:r>
        <w:rPr>
          <w:rFonts w:hint="eastAsia" w:ascii="仿宋" w:hAnsi="仿宋" w:eastAsia="仿宋" w:cs="仿宋"/>
          <w:sz w:val="24"/>
        </w:rPr>
        <w:t>人，授权</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响应</w:t>
      </w:r>
      <w:r>
        <w:rPr>
          <w:rFonts w:hint="eastAsia" w:ascii="仿宋" w:hAnsi="仿宋" w:eastAsia="仿宋" w:cs="仿宋"/>
          <w:sz w:val="24"/>
        </w:rPr>
        <w:t xml:space="preserve">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南京地铁宁扬线土建工程DS5-TA02标机械成孔灌注桩及加固工程旋挖机设备租赁 </w:t>
      </w:r>
      <w:r>
        <w:rPr>
          <w:rFonts w:hint="eastAsia" w:ascii="仿宋" w:hAnsi="仿宋" w:eastAsia="仿宋" w:cs="仿宋"/>
          <w:sz w:val="24"/>
        </w:rPr>
        <w:t>（项目名称）项目的招</w:t>
      </w:r>
      <w:r>
        <w:rPr>
          <w:rFonts w:hint="eastAsia" w:ascii="仿宋" w:hAnsi="仿宋" w:eastAsia="仿宋" w:cs="仿宋"/>
          <w:sz w:val="24"/>
          <w:lang w:eastAsia="zh-CN"/>
        </w:rPr>
        <w:t>响应</w:t>
      </w:r>
      <w:r>
        <w:rPr>
          <w:rFonts w:hint="eastAsia" w:ascii="仿宋" w:hAnsi="仿宋" w:eastAsia="仿宋" w:cs="仿宋"/>
          <w:sz w:val="24"/>
        </w:rPr>
        <w:t>活动中，以我单位的名义签署</w:t>
      </w:r>
      <w:r>
        <w:rPr>
          <w:rFonts w:hint="eastAsia" w:ascii="仿宋" w:hAnsi="仿宋" w:eastAsia="仿宋" w:cs="仿宋"/>
          <w:sz w:val="24"/>
          <w:lang w:eastAsia="zh-CN"/>
        </w:rPr>
        <w:t>响应</w:t>
      </w:r>
      <w:r>
        <w:rPr>
          <w:rFonts w:hint="eastAsia" w:ascii="仿宋" w:hAnsi="仿宋" w:eastAsia="仿宋" w:cs="仿宋"/>
          <w:sz w:val="24"/>
        </w:rPr>
        <w:t>文件，参与</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南京地铁宁扬线土建工程DS5-TA02标机械成孔灌注桩及加固工程旋挖机设备租赁</w:t>
      </w:r>
      <w:r>
        <w:rPr>
          <w:rFonts w:hint="eastAsia" w:ascii="仿宋" w:hAnsi="仿宋" w:eastAsia="仿宋" w:cs="仿宋"/>
          <w:sz w:val="24"/>
          <w:u w:val="single"/>
        </w:rPr>
        <w:t xml:space="preserve"> </w:t>
      </w:r>
      <w:r>
        <w:rPr>
          <w:rFonts w:hint="eastAsia" w:ascii="仿宋" w:hAnsi="仿宋" w:eastAsia="仿宋" w:cs="仿宋"/>
          <w:sz w:val="24"/>
        </w:rPr>
        <w:t>（项目名称）采购项目的协商、</w:t>
      </w:r>
      <w:r>
        <w:rPr>
          <w:rFonts w:hint="eastAsia" w:ascii="仿宋" w:hAnsi="仿宋" w:eastAsia="仿宋" w:cs="仿宋"/>
          <w:sz w:val="24"/>
          <w:lang w:eastAsia="zh-CN"/>
        </w:rPr>
        <w:t>响应</w:t>
      </w:r>
      <w:r>
        <w:rPr>
          <w:rFonts w:hint="eastAsia" w:ascii="仿宋" w:hAnsi="仿宋" w:eastAsia="仿宋" w:cs="仿宋"/>
          <w:sz w:val="24"/>
        </w:rPr>
        <w:t>、签订合同及有关文件，并执行一切与此有关事项。</w:t>
      </w:r>
    </w:p>
    <w:p w14:paraId="3548EAB0">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w:t>
      </w:r>
      <w:r>
        <w:rPr>
          <w:rFonts w:hint="eastAsia" w:ascii="仿宋" w:hAnsi="仿宋" w:eastAsia="仿宋" w:cs="仿宋"/>
          <w:sz w:val="24"/>
          <w:lang w:eastAsia="zh-CN"/>
        </w:rPr>
        <w:t>响应</w:t>
      </w:r>
      <w:r>
        <w:rPr>
          <w:rFonts w:hint="eastAsia" w:ascii="仿宋" w:hAnsi="仿宋" w:eastAsia="仿宋" w:cs="仿宋"/>
          <w:sz w:val="24"/>
        </w:rPr>
        <w:t>一直有效。被授权人在授权有效期内签署所有文件不因授权的撤消而消失。</w:t>
      </w:r>
    </w:p>
    <w:p w14:paraId="1451D9DB">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1025525</wp:posOffset>
                </wp:positionH>
                <wp:positionV relativeFrom="paragraph">
                  <wp:posOffset>171450</wp:posOffset>
                </wp:positionV>
                <wp:extent cx="5641340" cy="2498725"/>
                <wp:effectExtent l="0" t="0" r="3810" b="0"/>
                <wp:wrapNone/>
                <wp:docPr id="1" name="组合 1"/>
                <wp:cNvGraphicFramePr/>
                <a:graphic xmlns:a="http://schemas.openxmlformats.org/drawingml/2006/main">
                  <a:graphicData uri="http://schemas.microsoft.com/office/word/2010/wordprocessingGroup">
                    <wpg:wgp>
                      <wpg:cNvGrpSpPr/>
                      <wpg:grpSpPr>
                        <a:xfrm>
                          <a:off x="0" y="0"/>
                          <a:ext cx="564134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80.75pt;margin-top:13.5pt;height:196.75pt;width:444.2pt;mso-position-horizontal-relative:page;z-index:-251657216;mso-width-relative:page;mso-height-relative:page;" coordsize="5051,3554" o:gfxdata="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nqLUVdsAAAALAQAADwAAAAAA&#10;AAABACAAAAAiAAAAZHJzL2Rvd25yZXYueG1sUEsBAhQAFAAAAAgAh07iQOkJri4tAwAAsAsAAA4A&#10;AAAAAAAAAQAgAAAAKgEAAGRycy9lMm9Eb2MueG1sUEsFBgAAAAAGAAYAWQEAAMkGA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14:paraId="6DD3E023">
      <w:pPr>
        <w:tabs>
          <w:tab w:val="left" w:pos="1440"/>
        </w:tabs>
        <w:spacing w:line="360" w:lineRule="auto"/>
        <w:ind w:firstLine="480" w:firstLineChars="200"/>
        <w:rPr>
          <w:rFonts w:hint="eastAsia" w:ascii="仿宋" w:hAnsi="仿宋" w:eastAsia="仿宋" w:cs="仿宋"/>
          <w:sz w:val="24"/>
        </w:rPr>
      </w:pPr>
    </w:p>
    <w:p w14:paraId="0990409E">
      <w:pPr>
        <w:tabs>
          <w:tab w:val="left" w:pos="1440"/>
        </w:tabs>
        <w:spacing w:line="360" w:lineRule="auto"/>
        <w:ind w:firstLine="480" w:firstLineChars="200"/>
        <w:rPr>
          <w:rFonts w:hint="eastAsia" w:ascii="仿宋" w:hAnsi="仿宋" w:eastAsia="仿宋" w:cs="仿宋"/>
          <w:sz w:val="24"/>
        </w:rPr>
      </w:pPr>
    </w:p>
    <w:p w14:paraId="5FC7BAB4">
      <w:pPr>
        <w:tabs>
          <w:tab w:val="left" w:pos="1440"/>
        </w:tabs>
        <w:spacing w:line="360" w:lineRule="auto"/>
        <w:ind w:firstLine="480" w:firstLineChars="200"/>
        <w:rPr>
          <w:rFonts w:hint="eastAsia" w:ascii="仿宋" w:hAnsi="仿宋" w:eastAsia="仿宋" w:cs="仿宋"/>
          <w:sz w:val="24"/>
        </w:rPr>
      </w:pPr>
    </w:p>
    <w:p w14:paraId="03694610">
      <w:pPr>
        <w:tabs>
          <w:tab w:val="left" w:pos="1440"/>
        </w:tabs>
        <w:spacing w:line="360" w:lineRule="auto"/>
        <w:ind w:firstLine="480" w:firstLineChars="200"/>
        <w:rPr>
          <w:rFonts w:hint="eastAsia" w:ascii="仿宋" w:hAnsi="仿宋" w:eastAsia="仿宋" w:cs="仿宋"/>
          <w:sz w:val="24"/>
        </w:rPr>
      </w:pPr>
    </w:p>
    <w:p w14:paraId="2C0489BB">
      <w:pPr>
        <w:tabs>
          <w:tab w:val="left" w:pos="1440"/>
        </w:tabs>
        <w:spacing w:line="360" w:lineRule="auto"/>
        <w:ind w:firstLine="480" w:firstLineChars="200"/>
        <w:rPr>
          <w:rFonts w:hint="eastAsia" w:ascii="仿宋" w:hAnsi="仿宋" w:eastAsia="仿宋" w:cs="仿宋"/>
          <w:sz w:val="24"/>
        </w:rPr>
      </w:pPr>
    </w:p>
    <w:p w14:paraId="5C513AAA">
      <w:pPr>
        <w:tabs>
          <w:tab w:val="left" w:pos="1440"/>
        </w:tabs>
        <w:spacing w:line="360" w:lineRule="auto"/>
        <w:rPr>
          <w:rFonts w:hint="eastAsia" w:ascii="仿宋" w:hAnsi="仿宋" w:eastAsia="仿宋" w:cs="仿宋"/>
          <w:sz w:val="24"/>
        </w:rPr>
      </w:pPr>
    </w:p>
    <w:p w14:paraId="3E9288E3">
      <w:pPr>
        <w:tabs>
          <w:tab w:val="left" w:pos="1440"/>
        </w:tabs>
        <w:spacing w:line="360" w:lineRule="auto"/>
        <w:ind w:firstLine="480" w:firstLineChars="200"/>
        <w:rPr>
          <w:rFonts w:hint="eastAsia" w:ascii="仿宋" w:hAnsi="仿宋" w:eastAsia="仿宋" w:cs="仿宋"/>
          <w:sz w:val="24"/>
        </w:rPr>
      </w:pPr>
    </w:p>
    <w:p w14:paraId="6689664E">
      <w:pPr>
        <w:tabs>
          <w:tab w:val="left" w:pos="1440"/>
        </w:tabs>
        <w:spacing w:line="360" w:lineRule="auto"/>
        <w:ind w:firstLine="480" w:firstLineChars="200"/>
        <w:rPr>
          <w:rFonts w:hint="eastAsia" w:ascii="仿宋" w:hAnsi="仿宋" w:eastAsia="仿宋" w:cs="仿宋"/>
          <w:sz w:val="24"/>
        </w:rPr>
      </w:pPr>
    </w:p>
    <w:p w14:paraId="49A22B90">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14:paraId="127F9236">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4CAD5078">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响应</w:t>
      </w:r>
      <w:r>
        <w:rPr>
          <w:rFonts w:hint="eastAsia" w:ascii="仿宋" w:hAnsi="仿宋" w:eastAsia="仿宋" w:cs="仿宋"/>
          <w:sz w:val="24"/>
        </w:rPr>
        <w:t xml:space="preserve">单位（公司全称、章）：                                       </w:t>
      </w:r>
    </w:p>
    <w:p w14:paraId="399A2DCF">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14:paraId="036626F6">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14:paraId="6DFA7F76">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14:paraId="247279E7">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南京地铁宁扬线土建工程DS5-TA02标机械成孔灌注桩及加固工程</w:t>
      </w:r>
    </w:p>
    <w:p w14:paraId="3A1B9C8D">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旋挖设备租赁报价单</w:t>
      </w:r>
    </w:p>
    <w:tbl>
      <w:tblPr>
        <w:tblStyle w:val="12"/>
        <w:tblW w:w="8970" w:type="dxa"/>
        <w:tblInd w:w="-206" w:type="dxa"/>
        <w:tblLayout w:type="fixed"/>
        <w:tblCellMar>
          <w:top w:w="0" w:type="dxa"/>
          <w:left w:w="108" w:type="dxa"/>
          <w:bottom w:w="0" w:type="dxa"/>
          <w:right w:w="108" w:type="dxa"/>
        </w:tblCellMar>
      </w:tblPr>
      <w:tblGrid>
        <w:gridCol w:w="435"/>
        <w:gridCol w:w="1155"/>
        <w:gridCol w:w="1245"/>
        <w:gridCol w:w="1140"/>
        <w:gridCol w:w="1185"/>
        <w:gridCol w:w="765"/>
        <w:gridCol w:w="855"/>
        <w:gridCol w:w="1035"/>
        <w:gridCol w:w="1155"/>
      </w:tblGrid>
      <w:tr w14:paraId="3B27B673">
        <w:trPr>
          <w:trHeight w:val="425"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EB3D">
            <w:pPr>
              <w:widowControl/>
              <w:snapToGrid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序号</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0BC94">
            <w:pPr>
              <w:widowControl/>
              <w:snapToGrid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设备名称</w:t>
            </w:r>
          </w:p>
        </w:tc>
        <w:tc>
          <w:tcPr>
            <w:tcW w:w="124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26AA371">
            <w:pPr>
              <w:widowControl/>
              <w:snapToGrid w:val="0"/>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规格型号</w:t>
            </w:r>
          </w:p>
        </w:tc>
        <w:tc>
          <w:tcPr>
            <w:tcW w:w="1140"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14:paraId="08B7122F">
            <w:pPr>
              <w:widowControl/>
              <w:snapToGrid w:val="0"/>
              <w:jc w:val="center"/>
              <w:textAlignment w:val="center"/>
              <w:rPr>
                <w:rFonts w:ascii="仿宋" w:hAnsi="仿宋" w:eastAsia="仿宋" w:cs="仿宋"/>
                <w:color w:val="000000"/>
                <w:sz w:val="18"/>
                <w:szCs w:val="18"/>
              </w:rPr>
            </w:pPr>
            <w:r>
              <w:rPr>
                <w:rFonts w:ascii="仿宋" w:hAnsi="仿宋" w:eastAsia="仿宋" w:cs="仿宋"/>
                <w:color w:val="000000"/>
                <w:sz w:val="18"/>
                <w:szCs w:val="18"/>
              </w:rPr>
              <w:t>设备数量</w:t>
            </w:r>
          </w:p>
        </w:tc>
        <w:tc>
          <w:tcPr>
            <w:tcW w:w="118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08723A7">
            <w:pPr>
              <w:widowControl/>
              <w:snapToGrid w:val="0"/>
              <w:jc w:val="center"/>
              <w:textAlignment w:val="center"/>
              <w:rPr>
                <w:rFonts w:ascii="仿宋" w:hAnsi="仿宋" w:eastAsia="仿宋" w:cs="仿宋"/>
                <w:color w:val="000000"/>
                <w:sz w:val="18"/>
                <w:szCs w:val="18"/>
              </w:rPr>
            </w:pPr>
            <w:r>
              <w:rPr>
                <w:rFonts w:ascii="仿宋" w:hAnsi="仿宋" w:eastAsia="仿宋" w:cs="仿宋"/>
                <w:color w:val="000000"/>
                <w:sz w:val="18"/>
                <w:szCs w:val="18"/>
              </w:rPr>
              <w:t>租赁时长</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89091">
            <w:pPr>
              <w:widowControl/>
              <w:snapToGrid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单位</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0B9E7">
            <w:pPr>
              <w:widowControl/>
              <w:snapToGrid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工程量</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01BC6">
            <w:pPr>
              <w:widowControl/>
              <w:snapToGrid w:val="0"/>
              <w:jc w:val="center"/>
              <w:textAlignment w:val="center"/>
              <w:rPr>
                <w:rFonts w:ascii="仿宋" w:hAnsi="仿宋" w:eastAsia="仿宋" w:cs="仿宋"/>
                <w:color w:val="000000"/>
                <w:kern w:val="0"/>
                <w:sz w:val="18"/>
                <w:szCs w:val="18"/>
              </w:rPr>
            </w:pPr>
            <w:r>
              <w:rPr>
                <w:rFonts w:ascii="仿宋" w:hAnsi="仿宋" w:eastAsia="仿宋" w:cs="仿宋"/>
                <w:color w:val="000000"/>
                <w:kern w:val="0"/>
                <w:sz w:val="18"/>
                <w:szCs w:val="18"/>
              </w:rPr>
              <w:t>含税租赁费用</w:t>
            </w:r>
            <w:r>
              <w:rPr>
                <w:rFonts w:hint="eastAsia" w:ascii="仿宋" w:hAnsi="仿宋" w:eastAsia="仿宋" w:cs="仿宋"/>
                <w:color w:val="000000"/>
                <w:kern w:val="0"/>
                <w:sz w:val="18"/>
                <w:szCs w:val="18"/>
              </w:rPr>
              <w:t>（</w:t>
            </w:r>
            <w:r>
              <w:rPr>
                <w:rFonts w:ascii="仿宋" w:hAnsi="仿宋" w:eastAsia="仿宋" w:cs="仿宋"/>
                <w:color w:val="000000"/>
                <w:kern w:val="0"/>
                <w:sz w:val="18"/>
                <w:szCs w:val="18"/>
              </w:rPr>
              <w:t>元</w:t>
            </w:r>
            <w:r>
              <w:rPr>
                <w:rFonts w:hint="eastAsia" w:ascii="仿宋" w:hAnsi="仿宋" w:eastAsia="仿宋" w:cs="仿宋"/>
                <w:color w:val="000000"/>
                <w:kern w:val="0"/>
                <w:sz w:val="18"/>
                <w:szCs w:val="18"/>
              </w:rPr>
              <w:t>）</w:t>
            </w:r>
          </w:p>
        </w:tc>
      </w:tr>
      <w:tr w14:paraId="2D039C0A">
        <w:tblPrEx>
          <w:tblCellMar>
            <w:top w:w="0" w:type="dxa"/>
            <w:left w:w="108" w:type="dxa"/>
            <w:bottom w:w="0" w:type="dxa"/>
            <w:right w:w="108" w:type="dxa"/>
          </w:tblCellMar>
        </w:tblPrEx>
        <w:trPr>
          <w:trHeight w:val="423"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65186">
            <w:pPr>
              <w:widowControl/>
              <w:snapToGrid w:val="0"/>
              <w:jc w:val="center"/>
              <w:rPr>
                <w:rFonts w:ascii="仿宋" w:hAnsi="仿宋" w:eastAsia="仿宋" w:cs="仿宋"/>
                <w:color w:val="000000"/>
                <w:sz w:val="18"/>
                <w:szCs w:val="18"/>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741E1">
            <w:pPr>
              <w:widowControl/>
              <w:snapToGrid w:val="0"/>
              <w:jc w:val="center"/>
              <w:rPr>
                <w:rFonts w:ascii="仿宋" w:hAnsi="仿宋" w:eastAsia="仿宋" w:cs="仿宋"/>
                <w:color w:val="000000"/>
                <w:sz w:val="18"/>
                <w:szCs w:val="18"/>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579E6C6">
            <w:pPr>
              <w:widowControl/>
              <w:snapToGrid w:val="0"/>
              <w:jc w:val="center"/>
              <w:rPr>
                <w:rFonts w:ascii="仿宋" w:hAnsi="仿宋" w:eastAsia="仿宋" w:cs="仿宋"/>
                <w:color w:val="000000"/>
                <w:sz w:val="18"/>
                <w:szCs w:val="18"/>
              </w:rPr>
            </w:pPr>
          </w:p>
        </w:tc>
        <w:tc>
          <w:tcPr>
            <w:tcW w:w="114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3786813D">
            <w:pPr>
              <w:widowControl/>
              <w:snapToGrid w:val="0"/>
              <w:jc w:val="center"/>
              <w:rPr>
                <w:rFonts w:ascii="仿宋" w:hAnsi="仿宋" w:eastAsia="仿宋" w:cs="仿宋"/>
                <w:color w:val="000000"/>
                <w:sz w:val="18"/>
                <w:szCs w:val="18"/>
              </w:rPr>
            </w:pPr>
          </w:p>
        </w:tc>
        <w:tc>
          <w:tcPr>
            <w:tcW w:w="118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94600F6">
            <w:pPr>
              <w:widowControl/>
              <w:snapToGrid w:val="0"/>
              <w:jc w:val="center"/>
              <w:rPr>
                <w:rFonts w:ascii="仿宋" w:hAnsi="仿宋" w:eastAsia="仿宋" w:cs="仿宋"/>
                <w:color w:val="000000"/>
                <w:sz w:val="18"/>
                <w:szCs w:val="18"/>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0E2C8">
            <w:pPr>
              <w:widowControl/>
              <w:snapToGrid w:val="0"/>
              <w:jc w:val="center"/>
              <w:rPr>
                <w:rFonts w:ascii="仿宋" w:hAnsi="仿宋" w:eastAsia="仿宋" w:cs="仿宋"/>
                <w:color w:val="000000"/>
                <w:sz w:val="18"/>
                <w:szCs w:val="18"/>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7F7C">
            <w:pPr>
              <w:widowControl/>
              <w:snapToGrid w:val="0"/>
              <w:jc w:val="center"/>
              <w:rPr>
                <w:rFonts w:ascii="仿宋" w:hAnsi="仿宋" w:eastAsia="仿宋" w:cs="仿宋"/>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9682">
            <w:pPr>
              <w:widowControl/>
              <w:snapToGrid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FE7E">
            <w:pPr>
              <w:widowControl/>
              <w:snapToGrid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合价</w:t>
            </w:r>
          </w:p>
        </w:tc>
      </w:tr>
      <w:tr w14:paraId="174928E7">
        <w:tblPrEx>
          <w:tblCellMar>
            <w:top w:w="0" w:type="dxa"/>
            <w:left w:w="108" w:type="dxa"/>
            <w:bottom w:w="0" w:type="dxa"/>
            <w:right w:w="108" w:type="dxa"/>
          </w:tblCellMar>
        </w:tblPrEx>
        <w:trPr>
          <w:trHeight w:val="105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C88C">
            <w:pPr>
              <w:widowControl/>
              <w:snapToGrid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9DEC">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旋挖机</w:t>
            </w:r>
          </w:p>
        </w:tc>
        <w:tc>
          <w:tcPr>
            <w:tcW w:w="1245" w:type="dxa"/>
            <w:tcBorders>
              <w:top w:val="single" w:color="000000" w:sz="4" w:space="0"/>
              <w:left w:val="single" w:color="000000" w:sz="4" w:space="0"/>
              <w:bottom w:val="single" w:color="000000" w:sz="4" w:space="0"/>
              <w:right w:val="single" w:color="auto" w:sz="4" w:space="0"/>
            </w:tcBorders>
            <w:shd w:val="clear" w:color="auto" w:fill="auto"/>
            <w:vAlign w:val="center"/>
          </w:tcPr>
          <w:p w14:paraId="23B0167E">
            <w:pPr>
              <w:widowControl/>
              <w:snapToGrid w:val="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200及以上</w:t>
            </w:r>
          </w:p>
        </w:tc>
        <w:tc>
          <w:tcPr>
            <w:tcW w:w="1140" w:type="dxa"/>
            <w:tcBorders>
              <w:top w:val="single" w:color="000000" w:sz="4" w:space="0"/>
              <w:left w:val="single" w:color="auto" w:sz="4" w:space="0"/>
              <w:bottom w:val="single" w:color="000000" w:sz="4" w:space="0"/>
              <w:right w:val="single" w:color="auto" w:sz="4" w:space="0"/>
            </w:tcBorders>
            <w:shd w:val="clear" w:color="auto" w:fill="auto"/>
            <w:vAlign w:val="center"/>
          </w:tcPr>
          <w:p w14:paraId="75BF16F8">
            <w:pPr>
              <w:widowControl/>
              <w:snapToGrid w:val="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3台</w:t>
            </w: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14:paraId="4AB2874B">
            <w:pPr>
              <w:widowControl/>
              <w:snapToGrid w:val="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7个月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82CA">
            <w:pPr>
              <w:widowControl/>
              <w:snapToGrid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B0C5">
            <w:pPr>
              <w:widowControl/>
              <w:snapToGrid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402E">
            <w:pPr>
              <w:widowControl/>
              <w:snapToGrid w:val="0"/>
              <w:jc w:val="righ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6128">
            <w:pPr>
              <w:widowControl/>
              <w:snapToGrid w:val="0"/>
              <w:jc w:val="righ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0.00</w:t>
            </w:r>
          </w:p>
        </w:tc>
      </w:tr>
    </w:tbl>
    <w:p w14:paraId="144D1956">
      <w:pPr>
        <w:tabs>
          <w:tab w:val="left" w:pos="1440"/>
        </w:tabs>
        <w:spacing w:line="360" w:lineRule="auto"/>
        <w:rPr>
          <w:rFonts w:hint="eastAsia" w:ascii="仿宋" w:hAnsi="仿宋" w:eastAsia="仿宋" w:cs="仿宋"/>
          <w:b/>
          <w:bCs/>
          <w:sz w:val="24"/>
        </w:rPr>
      </w:pPr>
      <w:r>
        <w:rPr>
          <w:rFonts w:hint="eastAsia" w:ascii="仿宋" w:hAnsi="仿宋" w:eastAsia="仿宋" w:cs="仿宋"/>
          <w:b/>
          <w:bCs/>
          <w:sz w:val="24"/>
        </w:rPr>
        <w:t>注：</w:t>
      </w:r>
    </w:p>
    <w:p w14:paraId="79474943">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1、进场的旋挖设备不少于3台，设备的性能满足施工需要，若进场旋挖设备数量不能满足进度要求，则无条件增加进场设备，含税租赁单价不调整；</w:t>
      </w:r>
    </w:p>
    <w:p w14:paraId="1E30F32C">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2.旋挖施工配套的挖机、吊车、钻杆、钻头等需满足现场施工需要，不能满足进度要求，则无条件增加进场设备，费用包含在含税租赁单价中；</w:t>
      </w:r>
    </w:p>
    <w:p w14:paraId="1468DACF">
      <w:pPr>
        <w:tabs>
          <w:tab w:val="left" w:pos="144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3、本</w:t>
      </w:r>
      <w:r>
        <w:rPr>
          <w:rFonts w:hint="eastAsia" w:ascii="仿宋" w:hAnsi="仿宋" w:eastAsia="仿宋" w:cs="仿宋"/>
          <w:sz w:val="24"/>
          <w:lang w:val="en-US" w:eastAsia="zh-CN"/>
        </w:rPr>
        <w:t>采购项目开具增值税普通发票。</w:t>
      </w:r>
    </w:p>
    <w:p w14:paraId="2FF9192B">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4、如某单价与总价不符，则以较低价为准，或作废标处理；</w:t>
      </w:r>
    </w:p>
    <w:p w14:paraId="6F1CAC99">
      <w:pPr>
        <w:tabs>
          <w:tab w:val="left" w:pos="1440"/>
        </w:tabs>
        <w:spacing w:line="360" w:lineRule="auto"/>
        <w:rPr>
          <w:rFonts w:hint="eastAsia" w:ascii="仿宋" w:hAnsi="仿宋" w:eastAsia="仿宋" w:cs="仿宋"/>
          <w:b/>
          <w:bCs/>
          <w:sz w:val="24"/>
        </w:rPr>
      </w:pPr>
      <w:r>
        <w:rPr>
          <w:rFonts w:hint="eastAsia" w:ascii="仿宋" w:hAnsi="仿宋" w:eastAsia="仿宋" w:cs="仿宋"/>
          <w:b/>
          <w:bCs/>
          <w:sz w:val="24"/>
        </w:rPr>
        <w:t>付款方式：</w:t>
      </w:r>
    </w:p>
    <w:p w14:paraId="4FDAF3E7">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无预付款，乙方每月25日前提交当月租赁进度款支付申请，经甲方审核后60天内支付当期租赁造价的70%；租赁结束并结算完成后60天内付至结算金额的90%（此节点付款需开具结算款全额发票）；剩余10%分两期支付，其中3%从业主颁发工程竣工验收意见之日起满2年后30天内无息支付给乙方，7%在甲方收到总包保证金之日起15天内无息支付给乙方。</w:t>
      </w:r>
    </w:p>
    <w:p w14:paraId="57232811">
      <w:pPr>
        <w:spacing w:line="560" w:lineRule="exact"/>
        <w:jc w:val="left"/>
        <w:rPr>
          <w:rFonts w:ascii="仿宋" w:hAnsi="仿宋" w:eastAsia="仿宋" w:cs="仿宋"/>
          <w:sz w:val="24"/>
        </w:rPr>
      </w:pPr>
    </w:p>
    <w:p w14:paraId="1242CD58">
      <w:pPr>
        <w:spacing w:line="560" w:lineRule="exact"/>
        <w:jc w:val="left"/>
        <w:rPr>
          <w:rFonts w:ascii="仿宋" w:hAnsi="仿宋" w:eastAsia="仿宋" w:cs="仿宋"/>
          <w:sz w:val="24"/>
        </w:rPr>
      </w:pPr>
    </w:p>
    <w:p w14:paraId="07182945">
      <w:pPr>
        <w:spacing w:line="560" w:lineRule="exact"/>
        <w:jc w:val="left"/>
        <w:rPr>
          <w:rFonts w:ascii="仿宋" w:hAnsi="仿宋" w:eastAsia="仿宋" w:cs="仿宋"/>
          <w:sz w:val="24"/>
        </w:rPr>
      </w:pPr>
    </w:p>
    <w:p w14:paraId="0C8B4030">
      <w:pPr>
        <w:tabs>
          <w:tab w:val="left" w:pos="1440"/>
        </w:tabs>
        <w:spacing w:line="360" w:lineRule="auto"/>
        <w:jc w:val="both"/>
        <w:rPr>
          <w:rFonts w:hint="eastAsia" w:ascii="仿宋" w:hAnsi="仿宋" w:eastAsia="仿宋" w:cs="仿宋"/>
          <w:sz w:val="24"/>
        </w:rPr>
      </w:pPr>
      <w:r>
        <w:rPr>
          <w:rFonts w:hint="eastAsia" w:ascii="仿宋" w:hAnsi="仿宋" w:eastAsia="仿宋" w:cs="仿宋"/>
          <w:sz w:val="24"/>
        </w:rPr>
        <w:t>报价人（单位盖章）：</w:t>
      </w:r>
    </w:p>
    <w:p w14:paraId="63E0E82B">
      <w:pPr>
        <w:tabs>
          <w:tab w:val="left" w:pos="1440"/>
        </w:tabs>
        <w:spacing w:line="360" w:lineRule="auto"/>
        <w:jc w:val="both"/>
        <w:rPr>
          <w:rFonts w:hint="eastAsia" w:ascii="仿宋" w:hAnsi="仿宋" w:eastAsia="仿宋" w:cs="仿宋"/>
          <w:sz w:val="24"/>
        </w:rPr>
      </w:pPr>
      <w:r>
        <w:rPr>
          <w:rFonts w:hint="eastAsia" w:ascii="仿宋" w:hAnsi="仿宋" w:eastAsia="仿宋" w:cs="仿宋"/>
          <w:sz w:val="24"/>
        </w:rPr>
        <w:t xml:space="preserve">代表：               </w:t>
      </w:r>
    </w:p>
    <w:p w14:paraId="257A94C1">
      <w:pPr>
        <w:tabs>
          <w:tab w:val="left" w:pos="1440"/>
        </w:tabs>
        <w:spacing w:line="360" w:lineRule="auto"/>
        <w:jc w:val="both"/>
        <w:rPr>
          <w:rFonts w:hint="eastAsia" w:ascii="仿宋" w:hAnsi="仿宋" w:eastAsia="仿宋" w:cs="仿宋"/>
          <w:sz w:val="24"/>
        </w:rPr>
      </w:pPr>
      <w:r>
        <w:rPr>
          <w:rFonts w:hint="eastAsia" w:ascii="仿宋" w:hAnsi="仿宋" w:eastAsia="仿宋" w:cs="仿宋"/>
          <w:sz w:val="24"/>
        </w:rPr>
        <w:t>联系电话：</w:t>
      </w:r>
    </w:p>
    <w:p w14:paraId="3184FC04">
      <w:pPr>
        <w:tabs>
          <w:tab w:val="left" w:pos="1440"/>
        </w:tabs>
        <w:spacing w:line="360" w:lineRule="auto"/>
        <w:jc w:val="both"/>
        <w:rPr>
          <w:rFonts w:hint="eastAsia" w:ascii="仿宋" w:hAnsi="仿宋" w:eastAsia="仿宋" w:cs="仿宋"/>
          <w:sz w:val="24"/>
        </w:rPr>
      </w:pPr>
      <w:r>
        <w:rPr>
          <w:rFonts w:hint="eastAsia" w:ascii="仿宋" w:hAnsi="仿宋" w:eastAsia="仿宋" w:cs="仿宋"/>
          <w:sz w:val="24"/>
        </w:rPr>
        <w:t>报价日期：  年   月   日</w:t>
      </w:r>
    </w:p>
    <w:p w14:paraId="20297B8D">
      <w:pPr>
        <w:rPr>
          <w:rFonts w:hint="eastAsia" w:ascii="宋体" w:hAnsi="宋体" w:eastAsia="宋体" w:cs="宋体"/>
          <w:sz w:val="22"/>
          <w:szCs w:val="21"/>
          <w:lang w:val="en-US" w:eastAsia="zh-CN"/>
        </w:rPr>
      </w:pPr>
    </w:p>
    <w:p w14:paraId="7CAFC3BB">
      <w:pPr>
        <w:pStyle w:val="4"/>
        <w:tabs>
          <w:tab w:val="left" w:pos="3149"/>
        </w:tabs>
        <w:overflowPunct w:val="0"/>
        <w:ind w:right="68"/>
        <w:jc w:val="center"/>
        <w:rPr>
          <w:rFonts w:hint="eastAsia" w:ascii="仿宋" w:hAnsi="仿宋" w:eastAsia="仿宋" w:cs="仿宋"/>
          <w:b/>
          <w:sz w:val="36"/>
          <w:szCs w:val="36"/>
        </w:rPr>
      </w:pPr>
    </w:p>
    <w:p w14:paraId="1119599C">
      <w:pPr>
        <w:pStyle w:val="4"/>
        <w:tabs>
          <w:tab w:val="left" w:pos="3149"/>
        </w:tabs>
        <w:overflowPunct w:val="0"/>
        <w:ind w:right="68"/>
        <w:jc w:val="center"/>
        <w:rPr>
          <w:rFonts w:hint="eastAsia" w:ascii="仿宋" w:hAnsi="仿宋" w:eastAsia="仿宋" w:cs="仿宋"/>
          <w:b/>
          <w:sz w:val="36"/>
          <w:szCs w:val="36"/>
        </w:rPr>
      </w:pPr>
    </w:p>
    <w:p w14:paraId="3C6E88B2">
      <w:pPr>
        <w:pStyle w:val="4"/>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14:paraId="7CFF7C76">
      <w:pPr>
        <w:rPr>
          <w:rFonts w:hint="eastAsia" w:ascii="仿宋" w:hAnsi="仿宋" w:eastAsia="仿宋" w:cs="仿宋"/>
          <w:b/>
          <w:sz w:val="28"/>
          <w:szCs w:val="28"/>
        </w:rPr>
      </w:pPr>
    </w:p>
    <w:p w14:paraId="540F1339">
      <w:pPr>
        <w:pStyle w:val="4"/>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致：中煤长江基础建设有限公司</w:t>
      </w:r>
    </w:p>
    <w:p w14:paraId="57E99B6F">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14:paraId="6A009CB3">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14:paraId="4566FB1D">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14:paraId="7E768852">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14:paraId="5376BDA5">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26BFAF6">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14:paraId="63272F21">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14:paraId="5EE8402E">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14:paraId="2C299E67">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14:paraId="7A33AEE3">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14:paraId="53E23DD7">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14:paraId="115C66A7">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14:paraId="234D8A86">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十二、发现贵方工作人员有违反本承诺书行为或行为倾向的，将及时提醒纠正并向贵方纪检监察部门举报，同时积极配合贵方进行调查(贵方联系电话:</w:t>
      </w:r>
      <w:r>
        <w:rPr>
          <w:rFonts w:hint="eastAsia" w:ascii="仿宋" w:hAnsi="仿宋" w:eastAsia="仿宋" w:cs="仿宋"/>
          <w:kern w:val="2"/>
          <w:szCs w:val="24"/>
          <w:lang w:eastAsia="zh-CN"/>
        </w:rPr>
        <w:t>13451945932</w:t>
      </w:r>
      <w:r>
        <w:rPr>
          <w:rFonts w:hint="eastAsia" w:ascii="仿宋" w:hAnsi="仿宋" w:eastAsia="仿宋" w:cs="仿宋"/>
          <w:kern w:val="2"/>
          <w:szCs w:val="24"/>
        </w:rPr>
        <w:t>,联系人:</w:t>
      </w:r>
      <w:r>
        <w:rPr>
          <w:rFonts w:hint="eastAsia" w:ascii="仿宋" w:hAnsi="仿宋" w:eastAsia="仿宋" w:cs="仿宋"/>
          <w:kern w:val="2"/>
          <w:szCs w:val="24"/>
          <w:lang w:eastAsia="zh-CN"/>
        </w:rPr>
        <w:t>张春林</w:t>
      </w:r>
      <w:r>
        <w:rPr>
          <w:rFonts w:hint="eastAsia" w:ascii="仿宋" w:hAnsi="仿宋" w:eastAsia="仿宋" w:cs="仿宋"/>
          <w:kern w:val="2"/>
          <w:szCs w:val="24"/>
        </w:rPr>
        <w:t>)。</w:t>
      </w:r>
    </w:p>
    <w:p w14:paraId="2A1F11C8">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14:paraId="4ADEAB81">
      <w:pPr>
        <w:pStyle w:val="20"/>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14:paraId="6ECE9E53">
      <w:pPr>
        <w:pStyle w:val="4"/>
        <w:overflowPunct w:val="0"/>
        <w:rPr>
          <w:rFonts w:hint="eastAsia" w:ascii="仿宋" w:hAnsi="仿宋" w:eastAsia="仿宋" w:cs="仿宋"/>
          <w:sz w:val="18"/>
          <w:szCs w:val="18"/>
        </w:rPr>
      </w:pPr>
    </w:p>
    <w:p w14:paraId="1C151945">
      <w:pPr>
        <w:pStyle w:val="20"/>
        <w:autoSpaceDE/>
        <w:autoSpaceDN/>
        <w:adjustRightInd/>
        <w:spacing w:line="560" w:lineRule="exact"/>
        <w:jc w:val="both"/>
        <w:rPr>
          <w:rFonts w:hint="eastAsia" w:ascii="仿宋" w:hAnsi="仿宋" w:eastAsia="仿宋" w:cs="仿宋"/>
          <w:kern w:val="2"/>
          <w:szCs w:val="24"/>
        </w:rPr>
      </w:pPr>
    </w:p>
    <w:p w14:paraId="61A69CCC">
      <w:pPr>
        <w:pStyle w:val="20"/>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14:paraId="40E7D34E">
      <w:pPr>
        <w:pStyle w:val="20"/>
        <w:autoSpaceDE/>
        <w:autoSpaceDN/>
        <w:adjustRightInd/>
        <w:spacing w:line="560" w:lineRule="exact"/>
        <w:rPr>
          <w:rFonts w:hint="eastAsia" w:ascii="仿宋" w:hAnsi="仿宋" w:eastAsia="仿宋" w:cs="仿宋"/>
          <w:kern w:val="2"/>
          <w:szCs w:val="24"/>
        </w:rPr>
      </w:pPr>
    </w:p>
    <w:p w14:paraId="5C89EA7E">
      <w:pPr>
        <w:pStyle w:val="20"/>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14:paraId="57BB6704">
      <w:pPr>
        <w:kinsoku/>
        <w:overflowPunct w:val="0"/>
        <w:topLinePunct/>
        <w:spacing w:line="560" w:lineRule="exact"/>
        <w:ind w:firstLine="640" w:firstLineChars="200"/>
        <w:jc w:val="both"/>
        <w:rPr>
          <w:rFonts w:hint="eastAsia" w:ascii="仿宋" w:hAnsi="仿宋" w:eastAsia="仿宋" w:cs="仿宋"/>
          <w:sz w:val="32"/>
          <w:szCs w:val="32"/>
        </w:rPr>
      </w:pPr>
    </w:p>
    <w:p w14:paraId="0CC49330">
      <w:pPr>
        <w:pStyle w:val="15"/>
        <w:rPr>
          <w:rFonts w:hint="eastAsia"/>
        </w:rPr>
      </w:pPr>
    </w:p>
    <w:p w14:paraId="5D96AEE2"/>
    <w:p w14:paraId="06F08BB2"/>
    <w:p w14:paraId="7BE3496E">
      <w:pPr>
        <w:rPr>
          <w:rFonts w:hint="default" w:eastAsia="宋体"/>
          <w:highlight w:val="yellow"/>
          <w:lang w:val="en-US" w:eastAsia="zh-CN"/>
        </w:rPr>
      </w:pPr>
      <w:r>
        <w:rPr>
          <w:rFonts w:hint="eastAsia" w:eastAsia="宋体"/>
          <w:highlight w:val="yellow"/>
          <w:lang w:val="en-US" w:eastAsia="zh-CN"/>
        </w:rPr>
        <w:t>营业执照、资质证书、</w:t>
      </w:r>
      <w:bookmarkStart w:id="0" w:name="_GoBack"/>
      <w:bookmarkEnd w:id="0"/>
      <w:r>
        <w:rPr>
          <w:rFonts w:hint="eastAsia" w:eastAsia="宋体"/>
          <w:highlight w:val="yellow"/>
          <w:lang w:val="en-US" w:eastAsia="zh-CN"/>
        </w:rPr>
        <w:t>征信报告</w:t>
      </w:r>
    </w:p>
    <w:p w14:paraId="19C3B4D6">
      <w:pPr>
        <w:pStyle w:val="15"/>
        <w:ind w:left="0" w:leftChars="0" w:firstLine="0" w:firstLineChars="0"/>
      </w:pPr>
    </w:p>
    <w:p w14:paraId="0AE4EE88"/>
    <w:p w14:paraId="094FCA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2FFF">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ZTYzMzYzYjlkMTAyYWY3ZDE3MWI2MmM5OTc4ZDkifQ=="/>
  </w:docVars>
  <w:rsids>
    <w:rsidRoot w:val="00000000"/>
    <w:rsid w:val="031A7430"/>
    <w:rsid w:val="07A377EB"/>
    <w:rsid w:val="07F22749"/>
    <w:rsid w:val="0CF602B9"/>
    <w:rsid w:val="11870CA2"/>
    <w:rsid w:val="125C1607"/>
    <w:rsid w:val="125F1C01"/>
    <w:rsid w:val="1461798B"/>
    <w:rsid w:val="14A32FFE"/>
    <w:rsid w:val="15786D25"/>
    <w:rsid w:val="1A746641"/>
    <w:rsid w:val="1C916647"/>
    <w:rsid w:val="1F270051"/>
    <w:rsid w:val="230D38A4"/>
    <w:rsid w:val="240C2AF1"/>
    <w:rsid w:val="24A71FA1"/>
    <w:rsid w:val="25ED1ACA"/>
    <w:rsid w:val="286C4BA3"/>
    <w:rsid w:val="287C4027"/>
    <w:rsid w:val="2C5A200C"/>
    <w:rsid w:val="2E03179C"/>
    <w:rsid w:val="2E1E1344"/>
    <w:rsid w:val="362749AA"/>
    <w:rsid w:val="37745015"/>
    <w:rsid w:val="3B822ED9"/>
    <w:rsid w:val="3D701E11"/>
    <w:rsid w:val="3E540D13"/>
    <w:rsid w:val="400E3D5F"/>
    <w:rsid w:val="414677BB"/>
    <w:rsid w:val="45554E75"/>
    <w:rsid w:val="4C5444F8"/>
    <w:rsid w:val="4E41768F"/>
    <w:rsid w:val="4EB94EBB"/>
    <w:rsid w:val="4EF92D15"/>
    <w:rsid w:val="4F6B59C1"/>
    <w:rsid w:val="4F6E1E10"/>
    <w:rsid w:val="52F06A35"/>
    <w:rsid w:val="53D539EB"/>
    <w:rsid w:val="56756A08"/>
    <w:rsid w:val="56B37C4E"/>
    <w:rsid w:val="60EE2410"/>
    <w:rsid w:val="610A1F17"/>
    <w:rsid w:val="6625452E"/>
    <w:rsid w:val="6850795B"/>
    <w:rsid w:val="688651C2"/>
    <w:rsid w:val="697B284D"/>
    <w:rsid w:val="69E301DD"/>
    <w:rsid w:val="6D1327AF"/>
    <w:rsid w:val="70FF5915"/>
    <w:rsid w:val="72796279"/>
    <w:rsid w:val="799D05BD"/>
    <w:rsid w:val="7A0F7765"/>
    <w:rsid w:val="7EF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Body Text Indent 2"/>
    <w:basedOn w:val="1"/>
    <w:qFormat/>
    <w:uiPriority w:val="0"/>
    <w:pPr>
      <w:spacing w:after="120" w:line="480" w:lineRule="auto"/>
      <w:ind w:left="420" w:firstLine="539"/>
    </w:pPr>
    <w:rPr>
      <w:rFonts w:ascii="Times New Roman" w:hAnsi="Times New Roman"/>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39"/>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11">
    <w:name w:val="Body Text First Indent"/>
    <w:basedOn w:val="4"/>
    <w:unhideWhenUsed/>
    <w:qFormat/>
    <w:uiPriority w:val="99"/>
    <w:pPr>
      <w:ind w:firstLine="420" w:firstLineChars="100"/>
    </w:pPr>
    <w:rPr>
      <w:rFonts w:ascii="Calibri" w:hAnsi="Calibri" w:eastAsia="宋体" w:cs="Times New Roman"/>
      <w:szCs w:val="2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标4"/>
    <w:basedOn w:val="16"/>
    <w:next w:val="1"/>
    <w:qFormat/>
    <w:uiPriority w:val="99"/>
    <w:pPr>
      <w:ind w:firstLine="560"/>
      <w:jc w:val="left"/>
      <w:outlineLvl w:val="3"/>
    </w:pPr>
  </w:style>
  <w:style w:type="paragraph" w:customStyle="1" w:styleId="16">
    <w:name w:val="标3"/>
    <w:basedOn w:val="17"/>
    <w:next w:val="1"/>
    <w:qFormat/>
    <w:uiPriority w:val="99"/>
    <w:pPr>
      <w:outlineLvl w:val="2"/>
    </w:pPr>
    <w:rPr>
      <w:rFonts w:ascii="宋体" w:hAnsi="宋体"/>
    </w:rPr>
  </w:style>
  <w:style w:type="paragraph" w:customStyle="1" w:styleId="17">
    <w:name w:val="标2"/>
    <w:basedOn w:val="18"/>
    <w:qFormat/>
    <w:uiPriority w:val="99"/>
    <w:pPr>
      <w:keepNext/>
      <w:keepLines/>
      <w:spacing w:beforeLines="0"/>
      <w:outlineLvl w:val="1"/>
    </w:pPr>
    <w:rPr>
      <w:rFonts w:ascii="黑体" w:hAnsi="黑体" w:cs="宋体"/>
      <w:b w:val="0"/>
      <w:sz w:val="28"/>
      <w:szCs w:val="20"/>
    </w:rPr>
  </w:style>
  <w:style w:type="paragraph" w:customStyle="1" w:styleId="18">
    <w:name w:val="标1"/>
    <w:basedOn w:val="10"/>
    <w:qFormat/>
    <w:uiPriority w:val="99"/>
    <w:pPr>
      <w:adjustRightInd w:val="0"/>
      <w:spacing w:beforeLines="50" w:afterLines="50"/>
    </w:pPr>
    <w:rPr>
      <w:kern w:val="24"/>
      <w:sz w:val="30"/>
      <w:szCs w:val="24"/>
    </w:rPr>
  </w:style>
  <w:style w:type="paragraph" w:customStyle="1" w:styleId="1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20">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7793</Words>
  <Characters>8110</Characters>
  <Lines>0</Lines>
  <Paragraphs>0</Paragraphs>
  <TotalTime>3</TotalTime>
  <ScaleCrop>false</ScaleCrop>
  <LinksUpToDate>false</LinksUpToDate>
  <CharactersWithSpaces>8782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Leah</cp:lastModifiedBy>
  <dcterms:modified xsi:type="dcterms:W3CDTF">2026-04-15T08:42:21Z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B1382711EFE94E95B3019BBB0EDEE6E7_13</vt:lpwstr>
  </property>
  <property fmtid="{D5CDD505-2E9C-101B-9397-08002B2CF9AE}" pid="4" name="KSOTemplateDocerSaveRecord">
    <vt:lpwstr>eyJoZGlkIjoiZWExOWQ0Yzk0MDhhMTdiMjFjMWEwNWFiZmQ2ODQ5MTQiLCJ1c2VySWQiOiIxMTUwNzI5NjU3In0=</vt:lpwstr>
  </property>
</Properties>
</file>