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A2C34">
      <w:pPr>
        <w:rPr>
          <w:rFonts w:hint="eastAsia" w:asciiTheme="minorEastAsia" w:hAnsiTheme="minorEastAsia" w:eastAsiaTheme="minorEastAsia" w:cstheme="minorEastAsia"/>
          <w:highlight w:val="none"/>
          <w:lang w:val="en-US" w:eastAsia="zh-CN"/>
        </w:rPr>
      </w:pPr>
      <w:bookmarkStart w:id="0" w:name="_Toc67627991"/>
      <w:r>
        <w:rPr>
          <w:rFonts w:hint="eastAsia" w:asciiTheme="minorEastAsia" w:hAnsiTheme="minorEastAsia" w:eastAsiaTheme="minorEastAsia" w:cstheme="minorEastAsia"/>
          <w:highlight w:val="none"/>
          <w:lang w:val="en-US" w:eastAsia="zh-CN"/>
        </w:rPr>
        <w:t xml:space="preserve">  </w:t>
      </w:r>
    </w:p>
    <w:p w14:paraId="705A7AE2">
      <w:pPr>
        <w:pStyle w:val="5"/>
        <w:rPr>
          <w:rFonts w:hint="eastAsia" w:asciiTheme="minorEastAsia" w:hAnsiTheme="minorEastAsia" w:eastAsiaTheme="minorEastAsia" w:cstheme="minorEastAsia"/>
          <w:highlight w:val="none"/>
          <w:lang w:val="en-US" w:eastAsia="zh-CN"/>
        </w:rPr>
      </w:pPr>
    </w:p>
    <w:p w14:paraId="1B8BAD50">
      <w:pPr>
        <w:pStyle w:val="5"/>
        <w:rPr>
          <w:rFonts w:hint="default" w:asciiTheme="minorEastAsia" w:hAnsiTheme="minorEastAsia" w:eastAsiaTheme="minorEastAsia" w:cstheme="minorEastAsia"/>
          <w:highlight w:val="none"/>
          <w:lang w:val="en-US" w:eastAsia="zh-CN"/>
        </w:rPr>
      </w:pPr>
    </w:p>
    <w:p w14:paraId="0DBCDFB8">
      <w:pPr>
        <w:spacing w:line="360" w:lineRule="auto"/>
        <w:jc w:val="center"/>
        <w:rPr>
          <w:rFonts w:hint="eastAsia" w:asciiTheme="minorEastAsia" w:hAnsiTheme="minorEastAsia" w:eastAsiaTheme="minorEastAsia" w:cstheme="minorEastAsia"/>
          <w:b/>
          <w:sz w:val="36"/>
          <w:szCs w:val="36"/>
          <w:highlight w:val="none"/>
          <w:lang w:val="en-US" w:eastAsia="zh-CN"/>
        </w:rPr>
      </w:pPr>
    </w:p>
    <w:p w14:paraId="42CF19A7">
      <w:pPr>
        <w:jc w:val="center"/>
        <w:rPr>
          <w:rFonts w:hint="default" w:ascii="微软雅黑" w:hAnsi="微软雅黑" w:eastAsia="微软雅黑" w:cs="微软雅黑"/>
          <w:sz w:val="52"/>
          <w:szCs w:val="52"/>
          <w:u w:val="none"/>
          <w:lang w:val="en-US" w:eastAsia="zh-CN"/>
        </w:rPr>
      </w:pPr>
      <w:r>
        <w:rPr>
          <w:rFonts w:hint="eastAsia" w:ascii="微软雅黑" w:hAnsi="微软雅黑" w:eastAsia="微软雅黑" w:cs="微软雅黑"/>
          <w:sz w:val="52"/>
          <w:szCs w:val="52"/>
          <w:u w:val="none"/>
          <w:lang w:val="en-US" w:eastAsia="zh-CN"/>
        </w:rPr>
        <w:t>中煤长江基础建设有限公司</w:t>
      </w:r>
    </w:p>
    <w:p w14:paraId="72385324">
      <w:pPr>
        <w:jc w:val="center"/>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抵入资产评估项目</w:t>
      </w:r>
    </w:p>
    <w:p w14:paraId="6E1D8B3B">
      <w:pPr>
        <w:jc w:val="center"/>
        <w:rPr>
          <w:rFonts w:hint="eastAsia" w:ascii="微软雅黑" w:hAnsi="微软雅黑" w:eastAsia="微软雅黑" w:cs="微软雅黑"/>
          <w:b w:val="0"/>
          <w:bCs w:val="0"/>
          <w:sz w:val="52"/>
          <w:szCs w:val="52"/>
          <w:lang w:val="en-US" w:eastAsia="zh-CN"/>
        </w:rPr>
      </w:pPr>
      <w:r>
        <w:rPr>
          <w:rFonts w:hint="eastAsia" w:ascii="微软雅黑" w:hAnsi="微软雅黑" w:eastAsia="微软雅黑" w:cs="微软雅黑"/>
          <w:b w:val="0"/>
          <w:bCs w:val="0"/>
          <w:sz w:val="52"/>
          <w:szCs w:val="52"/>
          <w:lang w:val="en-US" w:eastAsia="zh-CN"/>
        </w:rPr>
        <w:t>询比采购文件</w:t>
      </w:r>
    </w:p>
    <w:p w14:paraId="48378C07">
      <w:pPr>
        <w:spacing w:line="360" w:lineRule="auto"/>
        <w:jc w:val="center"/>
        <w:rPr>
          <w:rFonts w:hint="eastAsia" w:asciiTheme="minorEastAsia" w:hAnsiTheme="minorEastAsia" w:eastAsiaTheme="minorEastAsia" w:cstheme="minorEastAsia"/>
          <w:b/>
          <w:sz w:val="32"/>
          <w:szCs w:val="32"/>
          <w:highlight w:val="none"/>
          <w:lang w:val="en-US" w:eastAsia="zh-CN"/>
        </w:rPr>
      </w:pPr>
    </w:p>
    <w:p w14:paraId="2D4221A7">
      <w:pPr>
        <w:spacing w:line="360" w:lineRule="auto"/>
        <w:jc w:val="center"/>
        <w:rPr>
          <w:rFonts w:hint="eastAsia" w:asciiTheme="minorEastAsia" w:hAnsiTheme="minorEastAsia" w:eastAsiaTheme="minorEastAsia" w:cstheme="minorEastAsia"/>
          <w:b/>
          <w:sz w:val="32"/>
          <w:szCs w:val="32"/>
          <w:highlight w:val="none"/>
          <w:lang w:val="en-US" w:eastAsia="zh-CN"/>
        </w:rPr>
      </w:pPr>
    </w:p>
    <w:p w14:paraId="332759F2">
      <w:pPr>
        <w:spacing w:line="360" w:lineRule="auto"/>
        <w:jc w:val="center"/>
        <w:rPr>
          <w:rFonts w:hint="eastAsia" w:asciiTheme="minorEastAsia" w:hAnsiTheme="minorEastAsia" w:eastAsiaTheme="minorEastAsia" w:cstheme="minorEastAsia"/>
          <w:b/>
          <w:sz w:val="32"/>
          <w:szCs w:val="32"/>
          <w:highlight w:val="none"/>
          <w:lang w:val="en-US" w:eastAsia="zh-CN"/>
        </w:rPr>
      </w:pPr>
    </w:p>
    <w:p w14:paraId="3635C1C5">
      <w:pPr>
        <w:spacing w:line="360" w:lineRule="auto"/>
        <w:jc w:val="center"/>
        <w:rPr>
          <w:rFonts w:hint="default"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lang w:val="en-US" w:eastAsia="zh-CN"/>
        </w:rPr>
        <w:t>采购编号：ZMCJ00CG20260096</w:t>
      </w:r>
    </w:p>
    <w:p w14:paraId="6B6B623D">
      <w:pPr>
        <w:spacing w:line="360" w:lineRule="auto"/>
        <w:jc w:val="center"/>
        <w:rPr>
          <w:rFonts w:hint="eastAsia" w:asciiTheme="minorEastAsia" w:hAnsiTheme="minorEastAsia" w:eastAsiaTheme="minorEastAsia" w:cstheme="minorEastAsia"/>
          <w:b/>
          <w:sz w:val="52"/>
          <w:szCs w:val="52"/>
          <w:highlight w:val="none"/>
        </w:rPr>
      </w:pPr>
    </w:p>
    <w:p w14:paraId="4E8852EF">
      <w:pPr>
        <w:spacing w:line="360" w:lineRule="auto"/>
        <w:jc w:val="center"/>
        <w:rPr>
          <w:rFonts w:hint="eastAsia" w:asciiTheme="minorEastAsia" w:hAnsiTheme="minorEastAsia" w:eastAsiaTheme="minorEastAsia" w:cstheme="minorEastAsia"/>
          <w:b/>
          <w:sz w:val="52"/>
          <w:szCs w:val="52"/>
          <w:highlight w:val="none"/>
        </w:rPr>
      </w:pPr>
    </w:p>
    <w:p w14:paraId="53A332E5">
      <w:pPr>
        <w:spacing w:line="360" w:lineRule="auto"/>
        <w:jc w:val="center"/>
        <w:rPr>
          <w:rFonts w:hint="eastAsia" w:asciiTheme="minorEastAsia" w:hAnsiTheme="minorEastAsia" w:eastAsiaTheme="minorEastAsia" w:cstheme="minorEastAsia"/>
          <w:b/>
          <w:sz w:val="52"/>
          <w:szCs w:val="52"/>
          <w:highlight w:val="none"/>
        </w:rPr>
      </w:pPr>
    </w:p>
    <w:p w14:paraId="76CBDCA7">
      <w:pPr>
        <w:pStyle w:val="23"/>
        <w:rPr>
          <w:rFonts w:hint="eastAsia" w:asciiTheme="minorEastAsia" w:hAnsiTheme="minorEastAsia" w:eastAsiaTheme="minorEastAsia" w:cstheme="minorEastAsia"/>
          <w:highlight w:val="none"/>
        </w:rPr>
      </w:pPr>
    </w:p>
    <w:p w14:paraId="66F26E1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b w:val="0"/>
          <w:bCs/>
          <w:sz w:val="32"/>
          <w:highlight w:val="none"/>
          <w:lang w:eastAsia="zh-CN"/>
        </w:rPr>
      </w:pPr>
      <w:bookmarkStart w:id="1" w:name="OLE_LINK11"/>
      <w:r>
        <w:rPr>
          <w:rFonts w:hint="eastAsia" w:asciiTheme="minorEastAsia" w:hAnsiTheme="minorEastAsia" w:eastAsiaTheme="minorEastAsia" w:cstheme="minorEastAsia"/>
          <w:b w:val="0"/>
          <w:bCs/>
          <w:sz w:val="32"/>
          <w:highlight w:val="none"/>
          <w:lang w:eastAsia="zh-CN"/>
        </w:rPr>
        <w:t>中煤长江地质集团有限公司</w:t>
      </w:r>
    </w:p>
    <w:bookmarkEnd w:id="1"/>
    <w:p w14:paraId="521BE59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b w:val="0"/>
          <w:bCs/>
          <w:sz w:val="32"/>
          <w:highlight w:val="none"/>
          <w:lang w:val="en-US" w:eastAsia="zh-CN"/>
        </w:rPr>
        <w:sectPr>
          <w:pgSz w:w="11900" w:h="16838"/>
          <w:pgMar w:top="720" w:right="1338" w:bottom="1332" w:left="1684" w:header="1026" w:footer="794"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asciiTheme="minorEastAsia" w:hAnsiTheme="minorEastAsia" w:eastAsiaTheme="minorEastAsia" w:cstheme="minorEastAsia"/>
          <w:b w:val="0"/>
          <w:bCs/>
          <w:sz w:val="32"/>
          <w:highlight w:val="none"/>
          <w:lang w:eastAsia="zh-CN"/>
        </w:rPr>
        <w:t>二〇二</w:t>
      </w:r>
      <w:r>
        <w:rPr>
          <w:rFonts w:hint="eastAsia" w:asciiTheme="minorEastAsia" w:hAnsiTheme="minorEastAsia" w:eastAsiaTheme="minorEastAsia" w:cstheme="minorEastAsia"/>
          <w:b w:val="0"/>
          <w:bCs/>
          <w:sz w:val="32"/>
          <w:highlight w:val="none"/>
          <w:lang w:val="en-US" w:eastAsia="zh-CN"/>
        </w:rPr>
        <w:t>六</w:t>
      </w:r>
      <w:r>
        <w:rPr>
          <w:rFonts w:hint="eastAsia" w:asciiTheme="minorEastAsia" w:hAnsiTheme="minorEastAsia" w:eastAsiaTheme="minorEastAsia" w:cstheme="minorEastAsia"/>
          <w:b w:val="0"/>
          <w:bCs/>
          <w:sz w:val="32"/>
          <w:highlight w:val="none"/>
          <w:lang w:eastAsia="zh-CN"/>
        </w:rPr>
        <w:t>年</w:t>
      </w:r>
      <w:r>
        <w:rPr>
          <w:rFonts w:hint="eastAsia" w:asciiTheme="minorEastAsia" w:hAnsiTheme="minorEastAsia" w:eastAsiaTheme="minorEastAsia" w:cstheme="minorEastAsia"/>
          <w:b w:val="0"/>
          <w:bCs/>
          <w:sz w:val="32"/>
          <w:highlight w:val="none"/>
          <w:lang w:val="en-US" w:eastAsia="zh-CN"/>
        </w:rPr>
        <w:t>五月</w:t>
      </w:r>
    </w:p>
    <w:bookmarkEnd w:id="0"/>
    <w:p w14:paraId="3E7D52FF">
      <w:pPr>
        <w:pStyle w:val="2"/>
        <w:numPr>
          <w:ilvl w:val="0"/>
          <w:numId w:val="1"/>
        </w:numPr>
        <w:spacing w:before="0" w:after="0" w:line="660" w:lineRule="exact"/>
        <w:jc w:val="center"/>
        <w:rPr>
          <w:rFonts w:hint="eastAsia"/>
          <w:lang w:val="en-US" w:eastAsia="zh-CN"/>
        </w:rPr>
      </w:pPr>
      <w:r>
        <w:rPr>
          <w:rFonts w:hint="eastAsia" w:asciiTheme="minorEastAsia" w:hAnsiTheme="minorEastAsia" w:eastAsiaTheme="minorEastAsia" w:cstheme="minorEastAsia"/>
          <w:b/>
          <w:bCs w:val="0"/>
          <w:color w:val="000000"/>
          <w:sz w:val="36"/>
          <w:szCs w:val="36"/>
          <w:highlight w:val="none"/>
          <w:lang w:val="en-US" w:eastAsia="zh-CN"/>
        </w:rPr>
        <w:t>采购公告</w:t>
      </w:r>
    </w:p>
    <w:p w14:paraId="461AD25D">
      <w:pPr>
        <w:rPr>
          <w:rFonts w:hint="eastAsia"/>
          <w:lang w:val="en-US" w:eastAsia="zh-CN"/>
        </w:rPr>
      </w:pPr>
    </w:p>
    <w:p w14:paraId="7A82AD72">
      <w:pPr>
        <w:keepNext w:val="0"/>
        <w:keepLines w:val="0"/>
        <w:pageBreakBefore w:val="0"/>
        <w:widowControl/>
        <w:tabs>
          <w:tab w:val="left" w:pos="978"/>
        </w:tabs>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bookmarkStart w:id="2" w:name="_Toc97794043"/>
      <w:bookmarkStart w:id="3" w:name="_Toc11379"/>
      <w:bookmarkStart w:id="4" w:name="_Toc30393"/>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中煤长江基础建设有限公司抵入资产评估项目已具备采购条件，现此项目需要公开采购。</w:t>
      </w:r>
    </w:p>
    <w:p w14:paraId="5A85A277">
      <w:pPr>
        <w:keepNext w:val="0"/>
        <w:keepLines w:val="0"/>
        <w:pageBreakBefore w:val="0"/>
        <w:kinsoku/>
        <w:wordWrap/>
        <w:overflowPunct/>
        <w:topLinePunct w:val="0"/>
        <w:bidi w:val="0"/>
        <w:spacing w:line="560" w:lineRule="exact"/>
        <w:ind w:firstLine="602" w:firstLineChars="200"/>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一</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bCs/>
          <w:i w:val="0"/>
          <w:iCs w:val="0"/>
          <w:caps w:val="0"/>
          <w:color w:val="auto"/>
          <w:spacing w:val="0"/>
          <w:sz w:val="30"/>
          <w:szCs w:val="30"/>
          <w:highlight w:val="none"/>
          <w:vertAlign w:val="baseline"/>
          <w:lang w:val="en-US" w:eastAsia="zh-CN"/>
        </w:rPr>
        <w:t>项目概况与采购内容</w:t>
      </w:r>
    </w:p>
    <w:p w14:paraId="27EC8918">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default"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1.项目名称：中煤长江基础建设有限公司抵入资产评估项目</w:t>
      </w:r>
    </w:p>
    <w:p w14:paraId="661C9AF3">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2.项目地点：江苏省太仓市、江苏省徐州市</w:t>
      </w:r>
    </w:p>
    <w:p w14:paraId="545D6CE6">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3.采购人：中煤长江基础建设有限公司</w:t>
      </w:r>
    </w:p>
    <w:p w14:paraId="70C60279">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4.采购编号：ZMCJ00CG20260096</w:t>
      </w:r>
    </w:p>
    <w:p w14:paraId="20F3BD59">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default"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5.采购方式：询比采购</w:t>
      </w:r>
    </w:p>
    <w:p w14:paraId="3100B8FA">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6.采购内容及范围：对太仓市明月听澜小区18套住宅、太仓恒大文化旅游城童瑾苑3 栋17套住宅、徐州市潘安湖生态小镇御湖天下棠悦14 号楼31套住宅，共计66套住宅房产实际价值进行评估，并出具评估报告。</w:t>
      </w:r>
    </w:p>
    <w:p w14:paraId="1E0B16C1">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7.服务期：评估报告7个工作日内。</w:t>
      </w:r>
    </w:p>
    <w:p w14:paraId="5286A367">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8.评标办法：满足项目采购需求情况下最低价</w:t>
      </w:r>
    </w:p>
    <w:p w14:paraId="00D5F748">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9.项目性质：服务类</w:t>
      </w:r>
    </w:p>
    <w:p w14:paraId="42406F3C">
      <w:pPr>
        <w:spacing w:line="560" w:lineRule="exact"/>
        <w:ind w:firstLine="602" w:firstLineChars="200"/>
        <w:rPr>
          <w:rFonts w:hint="eastAsia" w:asciiTheme="minorEastAsia" w:hAnsiTheme="minorEastAsia" w:eastAsiaTheme="minorEastAsia" w:cstheme="minorEastAsia"/>
          <w:b/>
          <w:bCs/>
          <w:i w:val="0"/>
          <w:iCs w:val="0"/>
          <w:caps w:val="0"/>
          <w:color w:val="auto"/>
          <w:spacing w:val="0"/>
          <w:sz w:val="30"/>
          <w:szCs w:val="30"/>
          <w:highlight w:val="none"/>
          <w:vertAlign w:val="baseline"/>
          <w:lang w:val="en-US" w:eastAsia="zh-CN"/>
        </w:rPr>
      </w:pPr>
      <w:r>
        <w:rPr>
          <w:rFonts w:hint="eastAsia" w:asciiTheme="minorEastAsia" w:hAnsiTheme="minorEastAsia" w:eastAsiaTheme="minorEastAsia" w:cstheme="minorEastAsia"/>
          <w:b/>
          <w:bCs/>
          <w:i w:val="0"/>
          <w:iCs w:val="0"/>
          <w:caps w:val="0"/>
          <w:color w:val="auto"/>
          <w:spacing w:val="0"/>
          <w:sz w:val="30"/>
          <w:szCs w:val="30"/>
          <w:highlight w:val="none"/>
          <w:vertAlign w:val="baseline"/>
          <w:lang w:val="en-US" w:eastAsia="zh-CN"/>
        </w:rPr>
        <w:t>二、响应人资格要求</w:t>
      </w:r>
    </w:p>
    <w:p w14:paraId="4A61B0B5">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 xml:space="preserve">1.参与本项目采购活动的响应人应当是中华人民共和国境内的法人，同时还应具备如下条件：具有独立的法人资格，具备资产评估人员及能力，符合国有资产评估管理规定，并在中国煤炭地质总局评估机构A备选库中。 </w:t>
      </w:r>
    </w:p>
    <w:p w14:paraId="006E52B7">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2.采购控制价：含税总价报价不得超过8万元。</w:t>
      </w:r>
    </w:p>
    <w:p w14:paraId="412C5664">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3.响应人在近三年内无行贿犯罪、行政处罚等记录，没有处于被责令停业、财产被接管、冻结、破产状态（被最高人民法院在“信用中国”网站或各级信用信息共享平台中列入失信被执行人名单，拒绝参与本项目）。</w:t>
      </w:r>
    </w:p>
    <w:p w14:paraId="2355FAED">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4.法定代表人为同一个人的两个及两个以上法人，母公司与全资子公司或由其控股的子公司，不得同时参与本项目。</w:t>
      </w:r>
    </w:p>
    <w:p w14:paraId="7BF9DD90">
      <w:pPr>
        <w:spacing w:line="560" w:lineRule="exact"/>
        <w:ind w:firstLine="602" w:firstLineChars="200"/>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四、主要日程安排</w:t>
      </w:r>
    </w:p>
    <w:p w14:paraId="5E14E8A5">
      <w:pPr>
        <w:spacing w:line="560" w:lineRule="exact"/>
        <w:ind w:firstLine="480" w:firstLineChars="200"/>
        <w:rPr>
          <w:rFonts w:hint="eastAsia" w:asciiTheme="minorEastAsia" w:hAnsiTheme="minorEastAsia" w:eastAsiaTheme="minorEastAsia" w:cstheme="minorEastAsia"/>
          <w:b w:val="0"/>
          <w:bCs w:val="0"/>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b w:val="0"/>
          <w:bCs w:val="0"/>
          <w:i w:val="0"/>
          <w:iCs w:val="0"/>
          <w:caps w:val="0"/>
          <w:color w:val="auto"/>
          <w:spacing w:val="0"/>
          <w:sz w:val="24"/>
          <w:szCs w:val="24"/>
          <w:highlight w:val="none"/>
          <w:vertAlign w:val="baseline"/>
          <w:lang w:val="en-US" w:eastAsia="zh-CN"/>
        </w:rPr>
        <w:t>1.响应文件须在2026年5月15日上午10:00前递交到南京市栖霞区尧新大道5号招采部515室。</w:t>
      </w:r>
    </w:p>
    <w:p w14:paraId="04A95B7B">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2.交响应文件截止时间:2026年5月15日10:00点前。</w:t>
      </w:r>
    </w:p>
    <w:p w14:paraId="1282B9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3.联系人及联系地址：刘工，联系电话025-85666601 南京市栖霞区尧新大道5号招采部515室</w:t>
      </w:r>
    </w:p>
    <w:p w14:paraId="613DE69C">
      <w:pPr>
        <w:pStyle w:val="5"/>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4.项目联系人：侍先生，联系电话18705218109</w:t>
      </w:r>
    </w:p>
    <w:p w14:paraId="3CD82498">
      <w:pPr>
        <w:pStyle w:val="5"/>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529037DB">
      <w:pPr>
        <w:pStyle w:val="5"/>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59095703">
      <w:pPr>
        <w:pStyle w:val="5"/>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right"/>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中煤长江基础建设有限公司</w:t>
      </w:r>
    </w:p>
    <w:p w14:paraId="60666DDB">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right"/>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t>2026年05月11日</w:t>
      </w:r>
    </w:p>
    <w:p w14:paraId="64C5AB44">
      <w:pPr>
        <w:pStyle w:val="5"/>
        <w:jc w:val="right"/>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4C11E086">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05E3F9AF">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4A544A06">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2C89B881">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0EF43D0B">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09E505C0">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257AB71D">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4C78076D">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1DC6064B">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13B329C8">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246D5CD6">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271DA448">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7D943F2D">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3BBC29A7">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0CE078C0">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6E7E9C03">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70A97353">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124FF5FF">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1C14A341">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7EC46EAF">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3A8C49AA">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0DF04BBA">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6DF85C36">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442C72F3">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559CD4DD">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5DF66BCA">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21649450">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3AA906B9">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4D162AED">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339CF7D3">
      <w:pPr>
        <w:pStyle w:val="5"/>
        <w:rPr>
          <w:rFonts w:hint="eastAsia" w:asciiTheme="minorEastAsia" w:hAnsiTheme="minorEastAsia" w:eastAsiaTheme="minorEastAsia" w:cstheme="minorEastAsia"/>
          <w:i w:val="0"/>
          <w:iCs w:val="0"/>
          <w:caps w:val="0"/>
          <w:color w:val="auto"/>
          <w:spacing w:val="0"/>
          <w:sz w:val="24"/>
          <w:szCs w:val="24"/>
          <w:highlight w:val="none"/>
          <w:vertAlign w:val="baseline"/>
          <w:lang w:val="en-US" w:eastAsia="zh-CN"/>
        </w:rPr>
      </w:pPr>
    </w:p>
    <w:p w14:paraId="7F32A9E3">
      <w:pPr>
        <w:pStyle w:val="5"/>
        <w:ind w:left="0" w:leftChars="0" w:firstLine="0" w:firstLineChars="0"/>
        <w:jc w:val="both"/>
        <w:rPr>
          <w:rFonts w:hint="eastAsia" w:ascii="Times New Roman" w:hAnsi="Times New Roman" w:cs="Times New Roman"/>
          <w:b/>
          <w:bCs/>
          <w:sz w:val="36"/>
          <w:szCs w:val="36"/>
          <w:lang w:val="en-US" w:eastAsia="zh-CN"/>
        </w:rPr>
        <w:sectPr>
          <w:headerReference r:id="rId3" w:type="default"/>
          <w:footerReference r:id="rId4" w:type="default"/>
          <w:pgSz w:w="11900" w:h="16838"/>
          <w:pgMar w:top="1457" w:right="1338" w:bottom="1332" w:left="1684" w:header="1026" w:footer="794" w:gutter="0"/>
          <w:pgBorders>
            <w:top w:val="none" w:sz="0" w:space="0"/>
            <w:left w:val="none" w:sz="0" w:space="0"/>
            <w:bottom w:val="none" w:sz="0" w:space="0"/>
            <w:right w:val="none" w:sz="0" w:space="0"/>
          </w:pgBorders>
          <w:pgNumType w:fmt="decimal"/>
          <w:cols w:space="0" w:num="1"/>
          <w:rtlGutter w:val="0"/>
          <w:docGrid w:linePitch="312" w:charSpace="0"/>
        </w:sectPr>
      </w:pPr>
      <w:bookmarkStart w:id="33" w:name="_GoBack"/>
      <w:bookmarkEnd w:id="33"/>
    </w:p>
    <w:p w14:paraId="6380E653">
      <w:pPr>
        <w:pStyle w:val="5"/>
        <w:keepNext w:val="0"/>
        <w:keepLines w:val="0"/>
        <w:pageBreakBefore w:val="0"/>
        <w:widowControl/>
        <w:numPr>
          <w:ilvl w:val="0"/>
          <w:numId w:val="2"/>
        </w:numPr>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采购需求清单</w:t>
      </w:r>
    </w:p>
    <w:p w14:paraId="62B8357C">
      <w:pPr>
        <w:pStyle w:val="5"/>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36"/>
          <w:szCs w:val="36"/>
          <w:lang w:val="en-US" w:eastAsia="zh-CN"/>
        </w:rPr>
      </w:pPr>
    </w:p>
    <w:bookmarkEnd w:id="2"/>
    <w:bookmarkEnd w:id="3"/>
    <w:bookmarkEnd w:id="4"/>
    <w:tbl>
      <w:tblPr>
        <w:tblStyle w:val="24"/>
        <w:tblW w:w="8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870"/>
        <w:gridCol w:w="1112"/>
        <w:gridCol w:w="846"/>
        <w:gridCol w:w="936"/>
        <w:gridCol w:w="1597"/>
        <w:gridCol w:w="2349"/>
      </w:tblGrid>
      <w:tr w14:paraId="3247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8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5" w:name="_Toc135998992"/>
            <w:bookmarkStart w:id="6" w:name="_Toc18772"/>
            <w:bookmarkStart w:id="7" w:name="_Toc161767419"/>
            <w:r>
              <w:rPr>
                <w:rFonts w:hint="eastAsia" w:ascii="宋体" w:hAnsi="宋体" w:eastAsia="宋体" w:cs="宋体"/>
                <w:b/>
                <w:bCs/>
                <w:i w:val="0"/>
                <w:iCs w:val="0"/>
                <w:color w:val="000000"/>
                <w:kern w:val="0"/>
                <w:sz w:val="18"/>
                <w:szCs w:val="18"/>
                <w:u w:val="none"/>
                <w:lang w:val="en-US" w:eastAsia="zh-CN" w:bidi="ar"/>
              </w:rPr>
              <w:t>房产名称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6B2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资产</w:t>
            </w:r>
          </w:p>
          <w:p w14:paraId="6B4EEA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C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9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面积m2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ACA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单价（元）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43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2349" w:type="dxa"/>
            <w:tcBorders>
              <w:top w:val="single" w:color="000000" w:sz="4" w:space="0"/>
              <w:left w:val="nil"/>
              <w:bottom w:val="nil"/>
              <w:right w:val="single" w:color="000000" w:sz="4" w:space="0"/>
            </w:tcBorders>
            <w:shd w:val="clear" w:color="auto" w:fill="auto"/>
            <w:vAlign w:val="center"/>
          </w:tcPr>
          <w:p w14:paraId="0200C4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房屋信息</w:t>
            </w:r>
          </w:p>
        </w:tc>
      </w:tr>
      <w:tr w14:paraId="12A3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2D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徐州市潘安湖生态小镇御湖天下棠悦14号楼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5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0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D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4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5A26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棠悦14号楼-104</w:t>
            </w:r>
          </w:p>
        </w:tc>
      </w:tr>
      <w:tr w14:paraId="490B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141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8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6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3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5CFE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棠悦14号楼-204</w:t>
            </w:r>
          </w:p>
        </w:tc>
      </w:tr>
      <w:tr w14:paraId="2F4E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353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4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4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4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3F442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棠悦14号楼-1704</w:t>
            </w:r>
          </w:p>
        </w:tc>
      </w:tr>
      <w:tr w14:paraId="2925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45A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9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D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081D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棠悦14号楼-1804</w:t>
            </w:r>
          </w:p>
        </w:tc>
      </w:tr>
      <w:tr w14:paraId="246A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C20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F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E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D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A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B89F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棠悦14号楼-1904</w:t>
            </w:r>
          </w:p>
        </w:tc>
      </w:tr>
      <w:tr w14:paraId="5C01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064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7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7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3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5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19C48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棠悦14号楼-2104</w:t>
            </w:r>
          </w:p>
        </w:tc>
      </w:tr>
      <w:tr w14:paraId="258E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5BA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3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5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B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9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2022E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棠悦14号楼-2204</w:t>
            </w:r>
          </w:p>
        </w:tc>
      </w:tr>
      <w:tr w14:paraId="0649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041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0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5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9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A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9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33840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棠悦14号楼-2304</w:t>
            </w:r>
          </w:p>
        </w:tc>
      </w:tr>
      <w:tr w14:paraId="5105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D3C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E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0BC0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棠悦14号楼-2404</w:t>
            </w:r>
          </w:p>
        </w:tc>
      </w:tr>
      <w:tr w14:paraId="7F8A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CD7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0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E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3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1302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棠悦14号楼-2504</w:t>
            </w:r>
          </w:p>
        </w:tc>
      </w:tr>
      <w:tr w14:paraId="60ED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425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2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97D6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棠悦14号楼-101</w:t>
            </w:r>
          </w:p>
        </w:tc>
      </w:tr>
      <w:tr w14:paraId="2C61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5AA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7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B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5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2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939195.00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04654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棠悦14号楼-102</w:t>
            </w:r>
          </w:p>
        </w:tc>
      </w:tr>
      <w:tr w14:paraId="2F1E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8D7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0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C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F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679266.00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42C35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棠悦14号楼-103</w:t>
            </w:r>
          </w:p>
        </w:tc>
      </w:tr>
      <w:tr w14:paraId="4082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2A8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B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4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7CE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棠悦14号楼-201</w:t>
            </w:r>
          </w:p>
        </w:tc>
      </w:tr>
      <w:tr w14:paraId="693D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0B3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C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5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7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3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9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21704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棠悦14号楼-301</w:t>
            </w:r>
          </w:p>
        </w:tc>
      </w:tr>
      <w:tr w14:paraId="1714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215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E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938223.00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1C4C7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棠悦14号楼-303</w:t>
            </w:r>
          </w:p>
        </w:tc>
      </w:tr>
      <w:tr w14:paraId="56E6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469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D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6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33EA2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棠悦14号楼-401</w:t>
            </w:r>
          </w:p>
        </w:tc>
      </w:tr>
      <w:tr w14:paraId="3076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D17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8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939195.00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CEB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棠悦14号楼-402</w:t>
            </w:r>
          </w:p>
        </w:tc>
      </w:tr>
      <w:tr w14:paraId="17A7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7B8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9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D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8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3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146C4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棠悦14号楼-501</w:t>
            </w:r>
          </w:p>
        </w:tc>
      </w:tr>
      <w:tr w14:paraId="4AAA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739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B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6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9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8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F29F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棠悦14号楼-1101</w:t>
            </w:r>
          </w:p>
        </w:tc>
      </w:tr>
      <w:tr w14:paraId="4FF6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595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4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1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197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棠悦14号楼-1301</w:t>
            </w:r>
          </w:p>
        </w:tc>
      </w:tr>
      <w:tr w14:paraId="12CE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3D6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4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5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2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A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67529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棠悦14号楼-1401</w:t>
            </w:r>
          </w:p>
        </w:tc>
      </w:tr>
      <w:tr w14:paraId="378E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AD5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5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B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7E9E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棠悦14号楼-1801</w:t>
            </w:r>
          </w:p>
        </w:tc>
      </w:tr>
      <w:tr w14:paraId="5F22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033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C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4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8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3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6240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棠悦14号楼-1901</w:t>
            </w:r>
          </w:p>
        </w:tc>
      </w:tr>
      <w:tr w14:paraId="4A44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3BC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9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4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9663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棠悦14号楼-2001</w:t>
            </w:r>
          </w:p>
        </w:tc>
      </w:tr>
      <w:tr w14:paraId="5F3D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A88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9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1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F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3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4FA0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棠悦14号楼-2101</w:t>
            </w:r>
          </w:p>
        </w:tc>
      </w:tr>
      <w:tr w14:paraId="0635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10E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4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A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1C92D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棠悦14号楼-2201</w:t>
            </w:r>
          </w:p>
        </w:tc>
      </w:tr>
      <w:tr w14:paraId="22B1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D10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1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E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3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1E40D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棠悦14号楼-2301</w:t>
            </w:r>
          </w:p>
        </w:tc>
      </w:tr>
      <w:tr w14:paraId="688D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9D2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B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0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F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8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1026999.00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69AE5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棠悦14号楼-2401</w:t>
            </w:r>
          </w:p>
        </w:tc>
      </w:tr>
      <w:tr w14:paraId="221F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AE6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1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5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D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939195.00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02D16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棠悦14号楼-2402</w:t>
            </w:r>
          </w:p>
        </w:tc>
      </w:tr>
      <w:tr w14:paraId="3A15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CEB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A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2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5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939195.00 </w:t>
            </w:r>
          </w:p>
        </w:tc>
        <w:tc>
          <w:tcPr>
            <w:tcW w:w="2349" w:type="dxa"/>
            <w:tcBorders>
              <w:top w:val="single" w:color="000000" w:sz="4" w:space="0"/>
              <w:left w:val="nil"/>
              <w:bottom w:val="single" w:color="000000" w:sz="4" w:space="0"/>
              <w:right w:val="single" w:color="000000" w:sz="4" w:space="0"/>
            </w:tcBorders>
            <w:shd w:val="clear" w:color="auto" w:fill="auto"/>
            <w:vAlign w:val="center"/>
          </w:tcPr>
          <w:p w14:paraId="54AEB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棠悦14号楼-502</w:t>
            </w:r>
          </w:p>
        </w:tc>
      </w:tr>
      <w:tr w14:paraId="0919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29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太仓市明月听澜小区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3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7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F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B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8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明月听澜3-4202</w:t>
            </w:r>
          </w:p>
        </w:tc>
      </w:tr>
      <w:tr w14:paraId="7355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7DE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4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5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2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B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5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明月听澜3-3905</w:t>
            </w:r>
          </w:p>
        </w:tc>
      </w:tr>
      <w:tr w14:paraId="39AF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1D76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F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2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131.04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D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A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1572480.00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明月听澜3-3906</w:t>
            </w:r>
          </w:p>
        </w:tc>
      </w:tr>
      <w:tr w14:paraId="1E08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26D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F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4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6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明月听澜3-4002</w:t>
            </w:r>
          </w:p>
        </w:tc>
      </w:tr>
      <w:tr w14:paraId="59DE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A10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3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0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F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9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明月听澜3-4005</w:t>
            </w:r>
          </w:p>
        </w:tc>
      </w:tr>
      <w:tr w14:paraId="3978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3B4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A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7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4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131.04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4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E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1572480.00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明月听澜3-4006</w:t>
            </w:r>
          </w:p>
        </w:tc>
      </w:tr>
      <w:tr w14:paraId="41BA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CE0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2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6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130.60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A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1567200.00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明月听澜3-4101</w:t>
            </w:r>
          </w:p>
        </w:tc>
      </w:tr>
      <w:tr w14:paraId="21B8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404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7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9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9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9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5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明月听澜3-4102</w:t>
            </w:r>
          </w:p>
        </w:tc>
      </w:tr>
      <w:tr w14:paraId="6FCB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F46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6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C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A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明月听澜3-4105</w:t>
            </w:r>
          </w:p>
        </w:tc>
      </w:tr>
      <w:tr w14:paraId="3F73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508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E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6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130.60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C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1567200.00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4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明月听澜3-4106</w:t>
            </w:r>
          </w:p>
        </w:tc>
      </w:tr>
      <w:tr w14:paraId="7E0B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DEF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5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9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F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92.00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E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1104000.00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明月听澜3-3703</w:t>
            </w:r>
          </w:p>
        </w:tc>
      </w:tr>
      <w:tr w14:paraId="5AF4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791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7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E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131.04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E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3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1572480.00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2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明月听澜3-3801</w:t>
            </w:r>
          </w:p>
        </w:tc>
      </w:tr>
      <w:tr w14:paraId="5B2D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E57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B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2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E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9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8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明月听澜3-3802</w:t>
            </w:r>
          </w:p>
        </w:tc>
      </w:tr>
      <w:tr w14:paraId="55BF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7CC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5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7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6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92.00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8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1104000.00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3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明月听澜3-3803</w:t>
            </w:r>
          </w:p>
        </w:tc>
      </w:tr>
      <w:tr w14:paraId="3BD2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57A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8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2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131.04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C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A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1572480.00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2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明月听澜3-3901</w:t>
            </w:r>
          </w:p>
        </w:tc>
      </w:tr>
      <w:tr w14:paraId="3262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94B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0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1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9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112.39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4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9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1348680.00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F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明月听澜3-3902</w:t>
            </w:r>
          </w:p>
        </w:tc>
      </w:tr>
      <w:tr w14:paraId="7F18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4FB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E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9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B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92.00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0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1104000.00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9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明月听澜3-3903</w:t>
            </w:r>
          </w:p>
        </w:tc>
      </w:tr>
      <w:tr w14:paraId="3E18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EAE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C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9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131.04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2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7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1572480.00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2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明月听澜3-4001</w:t>
            </w:r>
          </w:p>
        </w:tc>
      </w:tr>
      <w:tr w14:paraId="3F06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C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太仓恒大文化旅游城童瑾苑3栋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5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5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10636.00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1389090.00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童瑾苑3栋-4706</w:t>
            </w:r>
          </w:p>
        </w:tc>
      </w:tr>
      <w:tr w14:paraId="259F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DD4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B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11008.00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1237199.00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童瑾苑3栋-4702</w:t>
            </w:r>
          </w:p>
        </w:tc>
      </w:tr>
      <w:tr w14:paraId="408D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0119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8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3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10974.00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C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1433241.00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童瑾苑3栋-4701</w:t>
            </w:r>
          </w:p>
        </w:tc>
      </w:tr>
      <w:tr w14:paraId="6461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409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3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10869.00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999948.00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3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童瑾苑3栋-3904</w:t>
            </w:r>
          </w:p>
        </w:tc>
      </w:tr>
      <w:tr w14:paraId="6859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F0C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F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1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F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1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10924.00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4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1004969.00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E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童瑾苑3栋-4003</w:t>
            </w:r>
          </w:p>
        </w:tc>
      </w:tr>
      <w:tr w14:paraId="2B9E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9306">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B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10998.00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1236060.00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8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童瑾苑3栋-4205</w:t>
            </w:r>
          </w:p>
        </w:tc>
      </w:tr>
      <w:tr w14:paraId="310A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CC6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3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4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3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6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10984.00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8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1234540.00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童瑾苑3栋-4305</w:t>
            </w:r>
          </w:p>
        </w:tc>
      </w:tr>
      <w:tr w14:paraId="4F7C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082D">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7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3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1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11641.00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7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1197255.00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童瑾苑6栋-3206</w:t>
            </w:r>
          </w:p>
        </w:tc>
      </w:tr>
      <w:tr w14:paraId="32C6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8896">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2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9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11904.00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9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916029.00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童瑾苑6栋-3205</w:t>
            </w:r>
          </w:p>
        </w:tc>
      </w:tr>
      <w:tr w14:paraId="3884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BDE2">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2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B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D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11867.00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D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1220478.00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7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童瑾苑6栋-3201</w:t>
            </w:r>
          </w:p>
        </w:tc>
      </w:tr>
      <w:tr w14:paraId="04DE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E4C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E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6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4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12393.00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E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953675.00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6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童瑾苑6栋-2705</w:t>
            </w:r>
          </w:p>
        </w:tc>
      </w:tr>
      <w:tr w14:paraId="1525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800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D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8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12281.00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9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994723.00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童瑾苑6栋-2704</w:t>
            </w:r>
          </w:p>
        </w:tc>
      </w:tr>
      <w:tr w14:paraId="72A9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08E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2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9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12393.00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A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953675.00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童瑾苑6栋-2605</w:t>
            </w:r>
          </w:p>
        </w:tc>
      </w:tr>
      <w:tr w14:paraId="7BDC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EEF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F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2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E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12393.00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6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953675.00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5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童瑾苑6栋-2602</w:t>
            </w:r>
          </w:p>
        </w:tc>
      </w:tr>
      <w:tr w14:paraId="6243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2072">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9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E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8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12469.00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4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959466.00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童瑾苑6栋-2505</w:t>
            </w:r>
          </w:p>
        </w:tc>
      </w:tr>
      <w:tr w14:paraId="3B58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EFA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F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1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6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12356.00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1000819.00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童瑾苑6栋-2503</w:t>
            </w:r>
          </w:p>
        </w:tc>
      </w:tr>
      <w:tr w14:paraId="15E7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BB63">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6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7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F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12393.00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D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953675.00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8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童瑾苑6栋-2405</w:t>
            </w:r>
          </w:p>
        </w:tc>
      </w:tr>
    </w:tbl>
    <w:p w14:paraId="7437453C">
      <w:pPr>
        <w:bidi w:val="0"/>
        <w:jc w:val="both"/>
        <w:rPr>
          <w:rFonts w:hint="eastAsia"/>
          <w:b/>
          <w:bCs/>
          <w:sz w:val="36"/>
          <w:szCs w:val="36"/>
          <w:lang w:val="en-US" w:eastAsia="zh-CN"/>
        </w:rPr>
      </w:pPr>
    </w:p>
    <w:p w14:paraId="03F37051">
      <w:pPr>
        <w:pStyle w:val="5"/>
        <w:rPr>
          <w:rFonts w:hint="eastAsia"/>
          <w:b/>
          <w:bCs/>
          <w:sz w:val="36"/>
          <w:szCs w:val="36"/>
          <w:lang w:val="en-US" w:eastAsia="zh-CN"/>
        </w:rPr>
      </w:pPr>
    </w:p>
    <w:p w14:paraId="21ECF678">
      <w:pPr>
        <w:pStyle w:val="5"/>
        <w:rPr>
          <w:rFonts w:hint="eastAsia"/>
          <w:b/>
          <w:bCs/>
          <w:sz w:val="36"/>
          <w:szCs w:val="36"/>
          <w:lang w:val="en-US" w:eastAsia="zh-CN"/>
        </w:rPr>
      </w:pPr>
    </w:p>
    <w:p w14:paraId="1AC98722">
      <w:pPr>
        <w:pStyle w:val="5"/>
        <w:rPr>
          <w:rFonts w:hint="eastAsia"/>
          <w:b/>
          <w:bCs/>
          <w:sz w:val="36"/>
          <w:szCs w:val="36"/>
          <w:lang w:val="en-US" w:eastAsia="zh-CN"/>
        </w:rPr>
      </w:pPr>
    </w:p>
    <w:p w14:paraId="646B3558">
      <w:pPr>
        <w:pStyle w:val="5"/>
        <w:rPr>
          <w:rFonts w:hint="eastAsia"/>
          <w:b/>
          <w:bCs/>
          <w:sz w:val="36"/>
          <w:szCs w:val="36"/>
          <w:lang w:val="en-US" w:eastAsia="zh-CN"/>
        </w:rPr>
      </w:pPr>
    </w:p>
    <w:p w14:paraId="608EC626">
      <w:pPr>
        <w:pStyle w:val="5"/>
        <w:rPr>
          <w:rFonts w:hint="eastAsia"/>
          <w:b/>
          <w:bCs/>
          <w:sz w:val="36"/>
          <w:szCs w:val="36"/>
          <w:lang w:val="en-US" w:eastAsia="zh-CN"/>
        </w:rPr>
      </w:pPr>
    </w:p>
    <w:p w14:paraId="6FB29178">
      <w:pPr>
        <w:pStyle w:val="5"/>
        <w:rPr>
          <w:rFonts w:hint="eastAsia"/>
          <w:b/>
          <w:bCs/>
          <w:sz w:val="36"/>
          <w:szCs w:val="36"/>
          <w:lang w:val="en-US" w:eastAsia="zh-CN"/>
        </w:rPr>
      </w:pPr>
    </w:p>
    <w:p w14:paraId="219EC2AC">
      <w:pPr>
        <w:pStyle w:val="5"/>
        <w:rPr>
          <w:rFonts w:hint="eastAsia"/>
          <w:b/>
          <w:bCs/>
          <w:sz w:val="36"/>
          <w:szCs w:val="36"/>
          <w:lang w:val="en-US" w:eastAsia="zh-CN"/>
        </w:rPr>
      </w:pPr>
    </w:p>
    <w:p w14:paraId="1C11E2E7">
      <w:pPr>
        <w:pStyle w:val="5"/>
        <w:rPr>
          <w:rFonts w:hint="eastAsia"/>
          <w:b/>
          <w:bCs/>
          <w:sz w:val="36"/>
          <w:szCs w:val="36"/>
          <w:lang w:val="en-US" w:eastAsia="zh-CN"/>
        </w:rPr>
      </w:pPr>
    </w:p>
    <w:p w14:paraId="6EEE448A">
      <w:pPr>
        <w:pStyle w:val="5"/>
        <w:rPr>
          <w:rFonts w:hint="eastAsia"/>
          <w:b/>
          <w:bCs/>
          <w:sz w:val="36"/>
          <w:szCs w:val="36"/>
          <w:lang w:val="en-US" w:eastAsia="zh-CN"/>
        </w:rPr>
        <w:sectPr>
          <w:pgSz w:w="11900" w:h="16838"/>
          <w:pgMar w:top="1457" w:right="1338" w:bottom="1332" w:left="1684" w:header="1026" w:footer="794" w:gutter="0"/>
          <w:pgBorders>
            <w:top w:val="none" w:sz="0" w:space="0"/>
            <w:left w:val="none" w:sz="0" w:space="0"/>
            <w:bottom w:val="none" w:sz="0" w:space="0"/>
            <w:right w:val="none" w:sz="0" w:space="0"/>
          </w:pgBorders>
          <w:pgNumType w:fmt="decimal"/>
          <w:cols w:space="0" w:num="1"/>
          <w:rtlGutter w:val="0"/>
          <w:docGrid w:linePitch="312" w:charSpace="0"/>
        </w:sectPr>
      </w:pPr>
    </w:p>
    <w:p w14:paraId="67E007A9">
      <w:pPr>
        <w:pStyle w:val="5"/>
        <w:ind w:firstLine="2891" w:firstLineChars="800"/>
        <w:jc w:val="both"/>
        <w:rPr>
          <w:rFonts w:hint="eastAsia" w:ascii="Times New Roman" w:hAnsi="Times New Roman" w:cs="Times New Roman"/>
          <w:b/>
          <w:bCs/>
          <w:sz w:val="36"/>
          <w:szCs w:val="36"/>
          <w:lang w:val="en-US" w:eastAsia="zh-CN"/>
        </w:rPr>
      </w:pPr>
      <w:bookmarkStart w:id="8" w:name="_Hlk519522713"/>
      <w:r>
        <w:rPr>
          <w:rFonts w:hint="eastAsia" w:ascii="Times New Roman" w:hAnsi="Times New Roman" w:cs="Times New Roman"/>
          <w:b/>
          <w:bCs/>
          <w:sz w:val="36"/>
          <w:szCs w:val="36"/>
          <w:lang w:val="en-US" w:eastAsia="zh-CN"/>
        </w:rPr>
        <w:t>第</w:t>
      </w:r>
      <w:r>
        <w:rPr>
          <w:rFonts w:hint="eastAsia" w:cs="Times New Roman"/>
          <w:b/>
          <w:bCs/>
          <w:sz w:val="36"/>
          <w:szCs w:val="36"/>
          <w:lang w:val="en-US" w:eastAsia="zh-CN"/>
        </w:rPr>
        <w:t>三</w:t>
      </w:r>
      <w:r>
        <w:rPr>
          <w:rFonts w:hint="eastAsia" w:ascii="Times New Roman" w:hAnsi="Times New Roman" w:cs="Times New Roman"/>
          <w:b/>
          <w:bCs/>
          <w:sz w:val="36"/>
          <w:szCs w:val="36"/>
          <w:lang w:val="en-US" w:eastAsia="zh-CN"/>
        </w:rPr>
        <w:t>章合同模版</w:t>
      </w:r>
    </w:p>
    <w:bookmarkEnd w:id="8"/>
    <w:p w14:paraId="33AFB2FA">
      <w:pPr>
        <w:spacing w:line="360" w:lineRule="auto"/>
        <w:jc w:val="right"/>
        <w:rPr>
          <w:rFonts w:ascii="宋体" w:hAnsi="宋体"/>
          <w:b/>
          <w:highlight w:val="none"/>
        </w:rPr>
      </w:pPr>
      <w:r>
        <w:rPr>
          <w:rFonts w:hint="eastAsia" w:ascii="宋体" w:hAnsi="宋体"/>
          <w:b/>
          <w:highlight w:val="none"/>
        </w:rPr>
        <w:t>合同登记编号：</w:t>
      </w:r>
    </w:p>
    <w:p w14:paraId="4185D264">
      <w:pPr>
        <w:jc w:val="center"/>
        <w:rPr>
          <w:rFonts w:ascii="宋体" w:hAnsi="宋体"/>
          <w:b/>
          <w:bCs/>
          <w:sz w:val="36"/>
          <w:szCs w:val="36"/>
          <w:highlight w:val="none"/>
        </w:rPr>
      </w:pPr>
    </w:p>
    <w:p w14:paraId="687A3F05">
      <w:pPr>
        <w:pStyle w:val="5"/>
        <w:rPr>
          <w:highlight w:val="none"/>
        </w:rPr>
      </w:pPr>
    </w:p>
    <w:p w14:paraId="6C49FF62">
      <w:pPr>
        <w:jc w:val="center"/>
        <w:rPr>
          <w:rFonts w:ascii="宋体" w:hAnsi="宋体"/>
          <w:b/>
          <w:bCs/>
          <w:sz w:val="36"/>
          <w:szCs w:val="36"/>
          <w:highlight w:val="none"/>
        </w:rPr>
      </w:pPr>
    </w:p>
    <w:p w14:paraId="14990931">
      <w:pPr>
        <w:pStyle w:val="5"/>
        <w:rPr>
          <w:highlight w:val="none"/>
        </w:rPr>
      </w:pPr>
    </w:p>
    <w:p w14:paraId="7033E817">
      <w:pPr>
        <w:pStyle w:val="5"/>
        <w:rPr>
          <w:highlight w:val="none"/>
        </w:rPr>
      </w:pPr>
    </w:p>
    <w:p w14:paraId="41EF414B">
      <w:pPr>
        <w:pStyle w:val="5"/>
        <w:rPr>
          <w:highlight w:val="none"/>
        </w:rPr>
      </w:pPr>
    </w:p>
    <w:p w14:paraId="2CE80000">
      <w:pPr>
        <w:rPr>
          <w:rFonts w:ascii="宋体" w:hAnsi="宋体"/>
          <w:b/>
          <w:bCs/>
          <w:sz w:val="36"/>
          <w:szCs w:val="36"/>
          <w:highlight w:val="none"/>
        </w:rPr>
      </w:pPr>
    </w:p>
    <w:p w14:paraId="5A4F5CEC">
      <w:pPr>
        <w:spacing w:line="360" w:lineRule="auto"/>
        <w:jc w:val="center"/>
        <w:rPr>
          <w:rFonts w:ascii="宋体" w:hAnsi="宋体"/>
          <w:b/>
          <w:highlight w:val="none"/>
        </w:rPr>
      </w:pPr>
      <w:r>
        <w:rPr>
          <w:rFonts w:hint="eastAsia" w:ascii="宋体" w:hAnsi="宋体" w:cs="宋体"/>
          <w:b/>
          <w:bCs/>
          <w:color w:val="000000"/>
          <w:sz w:val="44"/>
          <w:szCs w:val="44"/>
          <w:highlight w:val="none"/>
        </w:rPr>
        <w:t>资产评估委托合同</w:t>
      </w:r>
    </w:p>
    <w:p w14:paraId="6C5298E5">
      <w:pPr>
        <w:jc w:val="center"/>
        <w:rPr>
          <w:rFonts w:ascii="宋体" w:hAnsi="宋体"/>
          <w:b/>
          <w:highlight w:val="none"/>
        </w:rPr>
      </w:pPr>
    </w:p>
    <w:p w14:paraId="38B9CF88">
      <w:pPr>
        <w:jc w:val="center"/>
        <w:rPr>
          <w:rFonts w:ascii="宋体" w:hAnsi="宋体"/>
          <w:b/>
          <w:highlight w:val="none"/>
        </w:rPr>
      </w:pPr>
    </w:p>
    <w:p w14:paraId="30578B2A">
      <w:pPr>
        <w:jc w:val="center"/>
        <w:rPr>
          <w:rFonts w:ascii="宋体" w:hAnsi="宋体"/>
          <w:b/>
          <w:sz w:val="24"/>
          <w:szCs w:val="25"/>
          <w:highlight w:val="none"/>
          <w:u w:val="single"/>
        </w:rPr>
      </w:pPr>
    </w:p>
    <w:p w14:paraId="6AAE5390">
      <w:pPr>
        <w:rPr>
          <w:rFonts w:ascii="宋体" w:hAnsi="宋体"/>
          <w:b/>
          <w:sz w:val="24"/>
          <w:szCs w:val="25"/>
          <w:highlight w:val="none"/>
          <w:u w:val="single"/>
        </w:rPr>
      </w:pPr>
    </w:p>
    <w:p w14:paraId="607ED213">
      <w:pPr>
        <w:spacing w:line="360" w:lineRule="auto"/>
        <w:rPr>
          <w:rFonts w:ascii="宋体" w:hAnsi="宋体"/>
          <w:b/>
          <w:sz w:val="24"/>
          <w:szCs w:val="24"/>
          <w:highlight w:val="none"/>
        </w:rPr>
      </w:pPr>
    </w:p>
    <w:p w14:paraId="44E8DE1E">
      <w:pPr>
        <w:spacing w:line="360" w:lineRule="auto"/>
        <w:rPr>
          <w:rFonts w:ascii="宋体" w:hAnsi="宋体"/>
          <w:b/>
          <w:sz w:val="24"/>
          <w:szCs w:val="24"/>
          <w:highlight w:val="none"/>
        </w:rPr>
      </w:pPr>
    </w:p>
    <w:p w14:paraId="65189AD4">
      <w:pPr>
        <w:pStyle w:val="5"/>
        <w:rPr>
          <w:highlight w:val="none"/>
        </w:rPr>
      </w:pPr>
    </w:p>
    <w:p w14:paraId="39356FB8">
      <w:pPr>
        <w:spacing w:line="360" w:lineRule="auto"/>
        <w:rPr>
          <w:rFonts w:ascii="宋体" w:hAnsi="宋体"/>
          <w:b/>
          <w:sz w:val="24"/>
          <w:szCs w:val="24"/>
          <w:highlight w:val="none"/>
        </w:rPr>
      </w:pPr>
    </w:p>
    <w:p w14:paraId="5ECF5A98">
      <w:pPr>
        <w:pStyle w:val="5"/>
        <w:rPr>
          <w:highlight w:val="none"/>
        </w:rPr>
      </w:pPr>
    </w:p>
    <w:p w14:paraId="6F4DC3F3">
      <w:pPr>
        <w:pStyle w:val="5"/>
        <w:rPr>
          <w:highlight w:val="none"/>
        </w:rPr>
      </w:pPr>
    </w:p>
    <w:p w14:paraId="5285C4BB">
      <w:pPr>
        <w:pStyle w:val="5"/>
        <w:rPr>
          <w:highlight w:val="none"/>
        </w:rPr>
      </w:pPr>
    </w:p>
    <w:p w14:paraId="06D0A7E8">
      <w:pPr>
        <w:pStyle w:val="5"/>
        <w:rPr>
          <w:highlight w:val="none"/>
        </w:rPr>
      </w:pPr>
    </w:p>
    <w:p w14:paraId="3E37914F">
      <w:pPr>
        <w:pStyle w:val="5"/>
        <w:rPr>
          <w:highlight w:val="none"/>
        </w:rPr>
      </w:pPr>
    </w:p>
    <w:p w14:paraId="5812887B">
      <w:pPr>
        <w:spacing w:line="360" w:lineRule="auto"/>
        <w:rPr>
          <w:rFonts w:ascii="宋体" w:hAnsi="宋体"/>
          <w:b/>
          <w:sz w:val="24"/>
          <w:szCs w:val="24"/>
          <w:highlight w:val="none"/>
        </w:rPr>
      </w:pPr>
    </w:p>
    <w:p w14:paraId="16D28FD3">
      <w:pPr>
        <w:spacing w:line="560" w:lineRule="exact"/>
        <w:ind w:left="840" w:leftChars="400"/>
        <w:rPr>
          <w:rFonts w:ascii="宋体" w:hAnsi="宋体"/>
          <w:b/>
          <w:sz w:val="24"/>
          <w:szCs w:val="24"/>
          <w:highlight w:val="none"/>
          <w:u w:val="single"/>
        </w:rPr>
      </w:pPr>
      <w:bookmarkStart w:id="9" w:name="_Hlk160524713"/>
      <w:r>
        <w:rPr>
          <w:rFonts w:hint="eastAsia" w:ascii="宋体" w:hAnsi="宋体"/>
          <w:b/>
          <w:sz w:val="24"/>
          <w:szCs w:val="24"/>
          <w:highlight w:val="none"/>
        </w:rPr>
        <w:t>委托人(甲方)：</w:t>
      </w:r>
      <w:r>
        <w:rPr>
          <w:rFonts w:hint="eastAsia" w:ascii="宋体" w:hAnsi="宋体"/>
          <w:b/>
          <w:sz w:val="24"/>
          <w:szCs w:val="20"/>
          <w:highlight w:val="none"/>
          <w:u w:val="single"/>
        </w:rPr>
        <w:t xml:space="preserve">  </w:t>
      </w:r>
      <w:r>
        <w:rPr>
          <w:rFonts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ascii="宋体" w:hAnsi="宋体"/>
          <w:b/>
          <w:sz w:val="24"/>
          <w:szCs w:val="24"/>
          <w:highlight w:val="none"/>
          <w:u w:val="single"/>
        </w:rPr>
        <w:t xml:space="preserve">  </w:t>
      </w:r>
    </w:p>
    <w:p w14:paraId="4EE5E89D">
      <w:pPr>
        <w:spacing w:line="560" w:lineRule="exact"/>
        <w:ind w:left="840" w:leftChars="400"/>
        <w:rPr>
          <w:rFonts w:hint="default" w:ascii="宋体" w:hAnsi="宋体" w:eastAsia="宋体"/>
          <w:b/>
          <w:sz w:val="24"/>
          <w:highlight w:val="none"/>
          <w:u w:val="single"/>
          <w:lang w:val="en-US" w:eastAsia="zh-CN"/>
        </w:rPr>
      </w:pPr>
      <w:r>
        <w:rPr>
          <w:rFonts w:hint="eastAsia" w:ascii="宋体" w:hAnsi="宋体"/>
          <w:b/>
          <w:sz w:val="24"/>
          <w:szCs w:val="24"/>
          <w:highlight w:val="none"/>
        </w:rPr>
        <w:t>受托人(乙方)：</w:t>
      </w:r>
      <w:r>
        <w:rPr>
          <w:rFonts w:hint="eastAsia" w:ascii="宋体" w:hAnsi="宋体"/>
          <w:b/>
          <w:sz w:val="24"/>
          <w:szCs w:val="24"/>
          <w:highlight w:val="none"/>
          <w:u w:val="single"/>
          <w:lang w:val="en-US" w:eastAsia="zh-CN"/>
        </w:rPr>
        <w:t xml:space="preserve">                           </w:t>
      </w:r>
    </w:p>
    <w:p w14:paraId="69198D61">
      <w:pPr>
        <w:spacing w:line="560" w:lineRule="exact"/>
        <w:ind w:left="840" w:leftChars="400"/>
        <w:rPr>
          <w:rFonts w:ascii="宋体" w:hAnsi="宋体"/>
          <w:b/>
          <w:sz w:val="24"/>
          <w:szCs w:val="24"/>
          <w:highlight w:val="none"/>
        </w:rPr>
      </w:pPr>
      <w:r>
        <w:rPr>
          <w:rFonts w:hint="eastAsia" w:ascii="宋体" w:hAnsi="宋体"/>
          <w:b/>
          <w:sz w:val="24"/>
          <w:szCs w:val="24"/>
          <w:highlight w:val="none"/>
        </w:rPr>
        <w:t>签订地点：</w:t>
      </w:r>
      <w:r>
        <w:rPr>
          <w:rFonts w:hint="eastAsia" w:ascii="宋体" w:hAnsi="宋体"/>
          <w:b/>
          <w:sz w:val="24"/>
          <w:szCs w:val="24"/>
          <w:highlight w:val="none"/>
          <w:u w:val="single"/>
        </w:rPr>
        <w:t xml:space="preserve"> </w:t>
      </w:r>
      <w:r>
        <w:rPr>
          <w:rFonts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ascii="宋体" w:hAnsi="宋体"/>
          <w:b/>
          <w:sz w:val="24"/>
          <w:szCs w:val="24"/>
          <w:highlight w:val="none"/>
          <w:u w:val="single"/>
        </w:rPr>
        <w:t xml:space="preserve">      </w:t>
      </w:r>
    </w:p>
    <w:p w14:paraId="29FADBD6">
      <w:pPr>
        <w:spacing w:line="560" w:lineRule="exact"/>
        <w:ind w:left="840" w:leftChars="400"/>
        <w:rPr>
          <w:highlight w:val="none"/>
        </w:rPr>
      </w:pPr>
      <w:r>
        <w:rPr>
          <w:rFonts w:hint="eastAsia" w:ascii="宋体" w:hAnsi="宋体"/>
          <w:b/>
          <w:sz w:val="24"/>
          <w:szCs w:val="24"/>
          <w:highlight w:val="none"/>
        </w:rPr>
        <w:t>签订日期：</w:t>
      </w:r>
      <w:r>
        <w:rPr>
          <w:rFonts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ascii="宋体" w:hAnsi="宋体"/>
          <w:b/>
          <w:sz w:val="24"/>
          <w:szCs w:val="24"/>
          <w:highlight w:val="none"/>
          <w:u w:val="single"/>
        </w:rPr>
        <w:t xml:space="preserve"> </w:t>
      </w:r>
      <w:r>
        <w:rPr>
          <w:rFonts w:hint="eastAsia" w:ascii="宋体" w:hAnsi="宋体"/>
          <w:b/>
          <w:sz w:val="24"/>
          <w:szCs w:val="24"/>
          <w:highlight w:val="none"/>
          <w:u w:val="single"/>
        </w:rPr>
        <w:t>年</w:t>
      </w:r>
      <w:r>
        <w:rPr>
          <w:rFonts w:ascii="宋体" w:hAnsi="宋体"/>
          <w:b/>
          <w:sz w:val="24"/>
          <w:szCs w:val="24"/>
          <w:highlight w:val="none"/>
          <w:u w:val="single"/>
        </w:rPr>
        <w:t xml:space="preserve">  </w:t>
      </w:r>
      <w:r>
        <w:rPr>
          <w:rFonts w:hint="eastAsia" w:ascii="宋体" w:hAnsi="宋体"/>
          <w:b/>
          <w:sz w:val="24"/>
          <w:szCs w:val="24"/>
          <w:highlight w:val="none"/>
          <w:u w:val="single"/>
        </w:rPr>
        <w:t>月</w:t>
      </w:r>
      <w:r>
        <w:rPr>
          <w:rFonts w:ascii="宋体" w:hAnsi="宋体"/>
          <w:b/>
          <w:sz w:val="24"/>
          <w:szCs w:val="24"/>
          <w:highlight w:val="none"/>
          <w:u w:val="single"/>
        </w:rPr>
        <w:t xml:space="preserve">  </w:t>
      </w:r>
      <w:r>
        <w:rPr>
          <w:rFonts w:hint="eastAsia" w:ascii="宋体" w:hAnsi="宋体"/>
          <w:b/>
          <w:sz w:val="24"/>
          <w:szCs w:val="24"/>
          <w:highlight w:val="none"/>
          <w:u w:val="single"/>
        </w:rPr>
        <w:t xml:space="preserve">日 </w:t>
      </w:r>
      <w:r>
        <w:rPr>
          <w:rFonts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ascii="宋体" w:hAnsi="宋体"/>
          <w:b/>
          <w:sz w:val="24"/>
          <w:szCs w:val="24"/>
          <w:highlight w:val="none"/>
          <w:u w:val="single"/>
        </w:rPr>
        <w:t xml:space="preserve"> </w:t>
      </w:r>
      <w:bookmarkEnd w:id="9"/>
    </w:p>
    <w:p w14:paraId="03D723A2">
      <w:pPr>
        <w:spacing w:before="312" w:beforeLines="100" w:after="312" w:afterLines="100"/>
        <w:jc w:val="center"/>
        <w:rPr>
          <w:rFonts w:ascii="黑体" w:hAnsi="宋体" w:eastAsia="黑体" w:cs="宋体"/>
          <w:b/>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18C4D4E">
      <w:pPr>
        <w:spacing w:before="312" w:beforeLines="100" w:after="312" w:afterLines="100"/>
        <w:jc w:val="center"/>
        <w:rPr>
          <w:rFonts w:ascii="黑体" w:hAnsi="华文中宋" w:eastAsia="黑体"/>
          <w:b/>
          <w:sz w:val="32"/>
          <w:szCs w:val="32"/>
          <w:highlight w:val="none"/>
        </w:rPr>
      </w:pPr>
      <w:r>
        <w:rPr>
          <w:rFonts w:hint="eastAsia" w:ascii="黑体" w:hAnsi="宋体" w:eastAsia="黑体" w:cs="宋体"/>
          <w:b/>
          <w:sz w:val="32"/>
          <w:szCs w:val="32"/>
          <w:highlight w:val="none"/>
        </w:rPr>
        <w:t>资产评</w:t>
      </w:r>
      <w:r>
        <w:rPr>
          <w:rFonts w:hint="eastAsia" w:ascii="黑体" w:hAnsi="Batang" w:eastAsia="黑体" w:cs="Batang"/>
          <w:b/>
          <w:sz w:val="32"/>
          <w:szCs w:val="32"/>
          <w:highlight w:val="none"/>
        </w:rPr>
        <w:t>估</w:t>
      </w:r>
      <w:r>
        <w:rPr>
          <w:rFonts w:hint="eastAsia" w:ascii="黑体" w:hAnsi="华文中宋" w:eastAsia="黑体"/>
          <w:b/>
          <w:sz w:val="32"/>
          <w:szCs w:val="32"/>
          <w:highlight w:val="none"/>
        </w:rPr>
        <w:t>委托合同</w:t>
      </w:r>
    </w:p>
    <w:p w14:paraId="5EA08850">
      <w:pPr>
        <w:spacing w:line="360" w:lineRule="auto"/>
        <w:rPr>
          <w:rFonts w:hint="eastAsia" w:ascii="新宋体" w:hAnsi="新宋体" w:eastAsia="新宋体"/>
          <w:b/>
          <w:szCs w:val="21"/>
          <w:highlight w:val="none"/>
        </w:rPr>
      </w:pPr>
      <w:r>
        <w:rPr>
          <w:rFonts w:hint="eastAsia" w:ascii="新宋体" w:hAnsi="新宋体" w:eastAsia="新宋体"/>
          <w:b/>
          <w:szCs w:val="21"/>
          <w:highlight w:val="none"/>
        </w:rPr>
        <w:t>委托人（甲方）：</w:t>
      </w:r>
    </w:p>
    <w:p w14:paraId="52B2429C">
      <w:pPr>
        <w:spacing w:line="360" w:lineRule="auto"/>
        <w:rPr>
          <w:rFonts w:hint="eastAsia" w:ascii="新宋体" w:hAnsi="新宋体" w:eastAsia="新宋体"/>
          <w:b/>
          <w:szCs w:val="21"/>
          <w:highlight w:val="none"/>
        </w:rPr>
      </w:pPr>
      <w:r>
        <w:rPr>
          <w:rFonts w:hint="eastAsia" w:ascii="新宋体" w:hAnsi="新宋体" w:eastAsia="新宋体"/>
          <w:b/>
          <w:szCs w:val="21"/>
          <w:highlight w:val="none"/>
        </w:rPr>
        <w:t>住所：</w:t>
      </w:r>
    </w:p>
    <w:p w14:paraId="393D4794">
      <w:pPr>
        <w:spacing w:line="360" w:lineRule="auto"/>
        <w:rPr>
          <w:rFonts w:hint="eastAsia" w:ascii="新宋体" w:hAnsi="新宋体" w:eastAsia="新宋体"/>
          <w:b/>
          <w:szCs w:val="21"/>
          <w:highlight w:val="none"/>
        </w:rPr>
      </w:pPr>
      <w:r>
        <w:rPr>
          <w:rFonts w:hint="eastAsia" w:ascii="新宋体" w:hAnsi="新宋体" w:eastAsia="新宋体"/>
          <w:b/>
          <w:szCs w:val="21"/>
          <w:highlight w:val="none"/>
        </w:rPr>
        <w:t>联系人：               联系方式：</w:t>
      </w:r>
    </w:p>
    <w:p w14:paraId="351A7FF6">
      <w:pPr>
        <w:pStyle w:val="5"/>
        <w:rPr>
          <w:rFonts w:hint="eastAsia"/>
        </w:rPr>
      </w:pPr>
    </w:p>
    <w:p w14:paraId="4A865385">
      <w:pPr>
        <w:spacing w:line="360" w:lineRule="auto"/>
        <w:rPr>
          <w:rFonts w:hint="eastAsia" w:ascii="新宋体" w:hAnsi="新宋体" w:eastAsia="新宋体"/>
          <w:b/>
          <w:szCs w:val="21"/>
          <w:highlight w:val="none"/>
        </w:rPr>
      </w:pPr>
      <w:r>
        <w:rPr>
          <w:rFonts w:hint="eastAsia" w:ascii="新宋体" w:hAnsi="新宋体" w:eastAsia="新宋体"/>
          <w:b/>
          <w:szCs w:val="21"/>
          <w:highlight w:val="none"/>
        </w:rPr>
        <w:t>受托人（乙方）：</w:t>
      </w:r>
    </w:p>
    <w:p w14:paraId="16900F8F">
      <w:pPr>
        <w:spacing w:line="360" w:lineRule="auto"/>
        <w:rPr>
          <w:rFonts w:hint="eastAsia" w:ascii="新宋体" w:hAnsi="新宋体" w:eastAsia="新宋体"/>
          <w:b/>
          <w:szCs w:val="21"/>
          <w:highlight w:val="none"/>
        </w:rPr>
      </w:pPr>
      <w:r>
        <w:rPr>
          <w:rFonts w:hint="eastAsia" w:ascii="新宋体" w:hAnsi="新宋体" w:eastAsia="新宋体"/>
          <w:b/>
          <w:szCs w:val="21"/>
          <w:highlight w:val="none"/>
        </w:rPr>
        <w:t>住所：</w:t>
      </w:r>
    </w:p>
    <w:p w14:paraId="5F49295D">
      <w:pPr>
        <w:spacing w:line="360" w:lineRule="auto"/>
        <w:rPr>
          <w:rFonts w:hint="default" w:ascii="新宋体" w:hAnsi="新宋体" w:eastAsia="新宋体"/>
          <w:b/>
          <w:szCs w:val="21"/>
          <w:highlight w:val="none"/>
          <w:lang w:val="en-US" w:eastAsia="zh-CN"/>
        </w:rPr>
      </w:pPr>
      <w:r>
        <w:rPr>
          <w:rFonts w:hint="eastAsia" w:ascii="新宋体" w:hAnsi="新宋体" w:eastAsia="新宋体"/>
          <w:b/>
          <w:szCs w:val="21"/>
          <w:highlight w:val="none"/>
        </w:rPr>
        <w:t>联系人：</w:t>
      </w:r>
      <w:r>
        <w:rPr>
          <w:rFonts w:hint="eastAsia" w:ascii="新宋体" w:hAnsi="新宋体" w:eastAsia="新宋体"/>
          <w:b/>
          <w:szCs w:val="21"/>
          <w:highlight w:val="none"/>
          <w:lang w:val="en-US" w:eastAsia="zh-CN"/>
        </w:rPr>
        <w:t xml:space="preserve"> </w:t>
      </w:r>
      <w:r>
        <w:rPr>
          <w:rFonts w:hint="eastAsia" w:ascii="新宋体" w:hAnsi="新宋体" w:eastAsia="新宋体"/>
          <w:b/>
          <w:szCs w:val="21"/>
          <w:highlight w:val="none"/>
        </w:rPr>
        <w:t xml:space="preserve">              联系方式：</w:t>
      </w:r>
    </w:p>
    <w:p w14:paraId="216B8C09">
      <w:pPr>
        <w:spacing w:line="460" w:lineRule="exact"/>
        <w:ind w:firstLine="420" w:firstLineChars="200"/>
        <w:rPr>
          <w:rFonts w:ascii="宋体" w:hAnsi="宋体"/>
          <w:szCs w:val="21"/>
          <w:highlight w:val="none"/>
        </w:rPr>
      </w:pPr>
      <w:r>
        <w:rPr>
          <w:rFonts w:hint="eastAsia" w:ascii="宋体" w:hAnsi="宋体"/>
          <w:szCs w:val="21"/>
          <w:highlight w:val="none"/>
        </w:rPr>
        <w:t>甲乙双方本着平等自愿、诚实守信的原则，根据</w:t>
      </w:r>
      <w:r>
        <w:rPr>
          <w:rFonts w:ascii="宋体" w:hAnsi="宋体"/>
          <w:szCs w:val="21"/>
          <w:highlight w:val="none"/>
        </w:rPr>
        <w:t>《</w:t>
      </w:r>
      <w:r>
        <w:rPr>
          <w:rFonts w:hint="eastAsia" w:ascii="宋体" w:hAnsi="宋体"/>
          <w:szCs w:val="21"/>
          <w:highlight w:val="none"/>
        </w:rPr>
        <w:t>中华人民共和国民法典</w:t>
      </w:r>
      <w:r>
        <w:rPr>
          <w:rFonts w:ascii="宋体" w:hAnsi="宋体"/>
          <w:szCs w:val="21"/>
          <w:highlight w:val="none"/>
        </w:rPr>
        <w:t>》</w:t>
      </w:r>
      <w:r>
        <w:rPr>
          <w:rFonts w:hint="eastAsia" w:ascii="宋体" w:hAnsi="宋体"/>
          <w:szCs w:val="21"/>
          <w:highlight w:val="none"/>
        </w:rPr>
        <w:t>的相关规定，就委托资产评估服务项目，经双方协商同意签订本合同。</w:t>
      </w:r>
    </w:p>
    <w:p w14:paraId="5135BF38">
      <w:pPr>
        <w:spacing w:line="460" w:lineRule="exact"/>
        <w:ind w:firstLine="422" w:firstLineChars="200"/>
        <w:rPr>
          <w:rFonts w:ascii="宋体" w:hAnsi="宋体"/>
          <w:b/>
          <w:bCs/>
          <w:szCs w:val="21"/>
          <w:highlight w:val="none"/>
        </w:rPr>
      </w:pPr>
      <w:r>
        <w:rPr>
          <w:rFonts w:hint="eastAsia" w:ascii="宋体" w:hAnsi="宋体"/>
          <w:b/>
          <w:bCs/>
          <w:szCs w:val="21"/>
          <w:highlight w:val="none"/>
        </w:rPr>
        <w:t>一、评估目的</w:t>
      </w:r>
    </w:p>
    <w:p w14:paraId="26939054">
      <w:pPr>
        <w:spacing w:line="360" w:lineRule="auto"/>
        <w:ind w:firstLine="422"/>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37AB28EA">
      <w:pPr>
        <w:spacing w:line="460" w:lineRule="exact"/>
        <w:ind w:firstLine="422" w:firstLineChars="200"/>
        <w:rPr>
          <w:rFonts w:ascii="宋体" w:hAnsi="宋体"/>
          <w:b/>
          <w:bCs/>
          <w:szCs w:val="21"/>
          <w:highlight w:val="none"/>
        </w:rPr>
      </w:pPr>
      <w:r>
        <w:rPr>
          <w:rFonts w:hint="eastAsia" w:ascii="宋体" w:hAnsi="宋体"/>
          <w:b/>
          <w:bCs/>
          <w:szCs w:val="21"/>
          <w:highlight w:val="none"/>
        </w:rPr>
        <w:t>二、评估对象和评估范围</w:t>
      </w:r>
    </w:p>
    <w:p w14:paraId="632C093B">
      <w:pPr>
        <w:spacing w:line="360" w:lineRule="auto"/>
        <w:ind w:firstLine="422"/>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6003B74B">
      <w:pPr>
        <w:spacing w:line="460" w:lineRule="exact"/>
        <w:ind w:firstLine="422" w:firstLineChars="200"/>
        <w:rPr>
          <w:rFonts w:ascii="宋体" w:hAnsi="宋体"/>
          <w:b/>
          <w:bCs/>
          <w:szCs w:val="21"/>
          <w:highlight w:val="none"/>
        </w:rPr>
      </w:pPr>
      <w:r>
        <w:rPr>
          <w:rFonts w:hint="eastAsia" w:ascii="宋体" w:hAnsi="宋体"/>
          <w:b/>
          <w:bCs/>
          <w:szCs w:val="21"/>
          <w:highlight w:val="none"/>
        </w:rPr>
        <w:t>三、评估基准日</w:t>
      </w:r>
    </w:p>
    <w:p w14:paraId="22239A21">
      <w:pPr>
        <w:spacing w:line="460" w:lineRule="exact"/>
        <w:ind w:firstLine="420" w:firstLineChars="200"/>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月</w:t>
      </w:r>
      <w:r>
        <w:rPr>
          <w:rFonts w:hint="eastAsia" w:ascii="宋体" w:hAnsi="宋体"/>
          <w:szCs w:val="21"/>
          <w:highlight w:val="none"/>
          <w:u w:val="single"/>
          <w:lang w:val="en-US" w:eastAsia="zh-CN"/>
        </w:rPr>
        <w:t xml:space="preserve">    </w:t>
      </w:r>
      <w:r>
        <w:rPr>
          <w:rFonts w:hint="eastAsia" w:ascii="宋体" w:hAnsi="宋体"/>
          <w:szCs w:val="21"/>
          <w:highlight w:val="none"/>
          <w:u w:val="single"/>
        </w:rPr>
        <w:t>日</w:t>
      </w:r>
    </w:p>
    <w:p w14:paraId="002C0120">
      <w:pPr>
        <w:pStyle w:val="5"/>
        <w:spacing w:line="460" w:lineRule="exact"/>
        <w:rPr>
          <w:b/>
          <w:bCs/>
          <w:sz w:val="21"/>
          <w:szCs w:val="21"/>
          <w:highlight w:val="none"/>
        </w:rPr>
      </w:pPr>
      <w:r>
        <w:rPr>
          <w:rFonts w:hint="eastAsia"/>
          <w:b/>
          <w:bCs/>
          <w:sz w:val="21"/>
          <w:szCs w:val="21"/>
          <w:highlight w:val="none"/>
        </w:rPr>
        <w:t>四、价值类型</w:t>
      </w:r>
    </w:p>
    <w:p w14:paraId="5F8BE7BE">
      <w:pPr>
        <w:pStyle w:val="5"/>
        <w:spacing w:line="460" w:lineRule="exact"/>
        <w:rPr>
          <w:rFonts w:hint="eastAsia" w:ascii="宋体" w:hAnsi="宋体" w:eastAsia="宋体" w:cs="宋体"/>
          <w:sz w:val="10"/>
          <w:szCs w:val="10"/>
          <w:highlight w:val="none"/>
          <w:u w:val="single"/>
        </w:rPr>
      </w:pPr>
      <w:r>
        <w:rPr>
          <w:rFonts w:hint="eastAsia" w:ascii="宋体" w:hAnsi="宋体" w:eastAsia="宋体" w:cs="宋体"/>
          <w:sz w:val="21"/>
          <w:szCs w:val="21"/>
          <w:highlight w:val="none"/>
        </w:rPr>
        <w:t>甲方委托乙方对上述评估范围内资产的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进行评估</w:t>
      </w:r>
      <w:r>
        <w:rPr>
          <w:rFonts w:hint="eastAsia" w:ascii="宋体" w:hAnsi="宋体" w:eastAsia="宋体" w:cs="宋体"/>
          <w:sz w:val="10"/>
          <w:szCs w:val="10"/>
          <w:highlight w:val="none"/>
        </w:rPr>
        <w:t>。</w:t>
      </w:r>
    </w:p>
    <w:p w14:paraId="78E7D1E0">
      <w:pPr>
        <w:pStyle w:val="5"/>
        <w:spacing w:line="460" w:lineRule="exact"/>
        <w:rPr>
          <w:b/>
          <w:bCs/>
          <w:highlight w:val="none"/>
        </w:rPr>
      </w:pPr>
      <w:r>
        <w:rPr>
          <w:rFonts w:hint="eastAsia"/>
          <w:b/>
          <w:bCs/>
          <w:highlight w:val="none"/>
        </w:rPr>
        <w:t>五、评估报告使用范围</w:t>
      </w:r>
    </w:p>
    <w:p w14:paraId="7E1C9C06">
      <w:pPr>
        <w:spacing w:line="460" w:lineRule="exact"/>
        <w:ind w:firstLine="420" w:firstLineChars="200"/>
        <w:rPr>
          <w:rFonts w:ascii="宋体" w:hAnsi="宋体"/>
          <w:szCs w:val="21"/>
          <w:highlight w:val="none"/>
          <w:u w:val="single"/>
        </w:rPr>
      </w:pPr>
      <w:r>
        <w:rPr>
          <w:rFonts w:hint="eastAsia" w:ascii="宋体" w:hAnsi="宋体"/>
          <w:szCs w:val="21"/>
          <w:highlight w:val="none"/>
        </w:rPr>
        <w:t>1.</w:t>
      </w:r>
      <w:r>
        <w:rPr>
          <w:rFonts w:ascii="宋体" w:hAnsi="宋体"/>
          <w:szCs w:val="21"/>
          <w:highlight w:val="none"/>
        </w:rPr>
        <w:t>资产评估报告使用人</w:t>
      </w:r>
      <w:r>
        <w:rPr>
          <w:rFonts w:hint="eastAsia" w:ascii="宋体" w:hAnsi="宋体"/>
          <w:szCs w:val="21"/>
          <w:highlight w:val="none"/>
        </w:rPr>
        <w:t>为</w:t>
      </w:r>
      <w:r>
        <w:rPr>
          <w:rFonts w:ascii="宋体" w:hAnsi="宋体"/>
          <w:szCs w:val="21"/>
          <w:highlight w:val="none"/>
        </w:rPr>
        <w:t>甲方</w:t>
      </w:r>
      <w:r>
        <w:rPr>
          <w:rFonts w:hint="eastAsia" w:ascii="宋体" w:hAnsi="宋体"/>
          <w:szCs w:val="21"/>
          <w:highlight w:val="none"/>
        </w:rPr>
        <w:t>；</w:t>
      </w:r>
      <w:r>
        <w:rPr>
          <w:rFonts w:hint="eastAsia" w:ascii="宋体" w:hAnsi="宋体"/>
          <w:szCs w:val="21"/>
          <w:highlight w:val="none"/>
          <w:u w:val="single"/>
        </w:rPr>
        <w:t>除甲方外</w:t>
      </w:r>
      <w:r>
        <w:rPr>
          <w:rFonts w:ascii="宋体" w:hAnsi="宋体"/>
          <w:szCs w:val="21"/>
          <w:highlight w:val="none"/>
          <w:u w:val="single"/>
        </w:rPr>
        <w:t>资产评估报告</w:t>
      </w:r>
      <w:r>
        <w:rPr>
          <w:rFonts w:hint="eastAsia" w:ascii="宋体" w:hAnsi="宋体"/>
          <w:szCs w:val="21"/>
          <w:highlight w:val="none"/>
          <w:u w:val="single"/>
        </w:rPr>
        <w:t>未约定其他任何第三方使用。</w:t>
      </w:r>
    </w:p>
    <w:p w14:paraId="3FB4B2E5">
      <w:pPr>
        <w:spacing w:line="460" w:lineRule="exact"/>
        <w:ind w:firstLine="420" w:firstLineChars="200"/>
        <w:rPr>
          <w:rFonts w:ascii="宋体" w:hAnsi="宋体"/>
          <w:szCs w:val="21"/>
          <w:highlight w:val="none"/>
        </w:rPr>
      </w:pPr>
      <w:r>
        <w:rPr>
          <w:rFonts w:hint="eastAsia" w:ascii="宋体" w:hAnsi="宋体"/>
          <w:szCs w:val="21"/>
          <w:highlight w:val="none"/>
        </w:rPr>
        <w:t>资产评估报告仅供资产评估委托合同约定的和法律、行政法规规定的使用人使用，其他任何机构和个人不能成为资产评估报告的使用人。</w:t>
      </w:r>
    </w:p>
    <w:p w14:paraId="238C4A17">
      <w:pPr>
        <w:spacing w:line="460" w:lineRule="exact"/>
        <w:ind w:firstLine="420" w:firstLineChars="200"/>
        <w:rPr>
          <w:rFonts w:ascii="宋体" w:hAnsi="宋体"/>
          <w:szCs w:val="21"/>
          <w:highlight w:val="none"/>
        </w:rPr>
      </w:pPr>
      <w:r>
        <w:rPr>
          <w:rFonts w:hint="eastAsia" w:ascii="宋体" w:hAnsi="宋体"/>
          <w:szCs w:val="21"/>
          <w:highlight w:val="none"/>
        </w:rPr>
        <w:t>2.甲方或者其他资产评估报告使用人应当按照法律、行政法规规定和资产评估报告载明的使用目的及用途使用资产评估报告。</w:t>
      </w:r>
    </w:p>
    <w:p w14:paraId="5BF6F221">
      <w:pPr>
        <w:spacing w:line="460" w:lineRule="exact"/>
        <w:ind w:firstLine="420" w:firstLineChars="200"/>
        <w:rPr>
          <w:rFonts w:ascii="宋体" w:hAnsi="宋体"/>
          <w:szCs w:val="21"/>
          <w:highlight w:val="none"/>
        </w:rPr>
      </w:pPr>
      <w:r>
        <w:rPr>
          <w:rFonts w:hint="eastAsia" w:ascii="宋体" w:hAnsi="宋体"/>
          <w:szCs w:val="21"/>
          <w:highlight w:val="none"/>
        </w:rPr>
        <w:t>甲方或者其他资产评估报告使用人违反前述约定使用资产评估报告的，乙方及其资产评估专业人员不承担责任。</w:t>
      </w:r>
    </w:p>
    <w:p w14:paraId="2B7B34F3">
      <w:pPr>
        <w:spacing w:line="460" w:lineRule="exact"/>
        <w:ind w:firstLine="420" w:firstLineChars="200"/>
        <w:rPr>
          <w:rFonts w:ascii="宋体" w:hAnsi="宋体"/>
          <w:szCs w:val="21"/>
          <w:highlight w:val="none"/>
        </w:rPr>
      </w:pPr>
      <w:r>
        <w:rPr>
          <w:rFonts w:hint="eastAsia" w:ascii="宋体" w:hAnsi="宋体"/>
          <w:szCs w:val="21"/>
          <w:highlight w:val="none"/>
        </w:rPr>
        <w:t>3.资产评估报告使用人应当在资产评估报告载明的评估结论使用有效期内使用资产评估报告。</w:t>
      </w:r>
    </w:p>
    <w:p w14:paraId="740BE1FC">
      <w:pPr>
        <w:spacing w:line="460" w:lineRule="exact"/>
        <w:ind w:firstLine="420" w:firstLineChars="200"/>
        <w:rPr>
          <w:rFonts w:ascii="宋体" w:hAnsi="宋体"/>
          <w:szCs w:val="21"/>
          <w:highlight w:val="none"/>
        </w:rPr>
      </w:pPr>
      <w:r>
        <w:rPr>
          <w:rFonts w:hint="eastAsia" w:ascii="宋体" w:hAnsi="宋体"/>
          <w:szCs w:val="21"/>
          <w:highlight w:val="none"/>
        </w:rPr>
        <w:t>4.未经甲方书面许可，乙方及其资产评估专业人员不得将资产评估报告的内容向第三方提供或者公开，法律、行政法规另有规定的除外。</w:t>
      </w:r>
    </w:p>
    <w:p w14:paraId="697F2D87">
      <w:pPr>
        <w:spacing w:line="460" w:lineRule="exact"/>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.未征得乙方同意，资产评估报告的内容不得被摘抄、引用或者披露于公开媒体，法律、行政法规规定以及相关当事人另有约定的除外。</w:t>
      </w:r>
    </w:p>
    <w:p w14:paraId="3F8E90BD">
      <w:pPr>
        <w:spacing w:line="460" w:lineRule="exact"/>
        <w:ind w:firstLine="422" w:firstLineChars="200"/>
        <w:rPr>
          <w:rFonts w:ascii="宋体" w:hAnsi="宋体"/>
          <w:b/>
          <w:bCs/>
          <w:szCs w:val="21"/>
          <w:highlight w:val="none"/>
        </w:rPr>
      </w:pPr>
      <w:r>
        <w:rPr>
          <w:rFonts w:hint="eastAsia" w:ascii="宋体" w:hAnsi="宋体"/>
          <w:b/>
          <w:bCs/>
          <w:szCs w:val="21"/>
          <w:highlight w:val="none"/>
        </w:rPr>
        <w:t>六、评估报告提交期限和方式</w:t>
      </w:r>
    </w:p>
    <w:p w14:paraId="1EB37E4D">
      <w:pPr>
        <w:spacing w:line="460" w:lineRule="exact"/>
        <w:ind w:firstLine="420" w:firstLineChars="200"/>
        <w:rPr>
          <w:rFonts w:ascii="宋体" w:hAnsi="宋体"/>
          <w:szCs w:val="21"/>
          <w:highlight w:val="none"/>
        </w:rPr>
      </w:pPr>
      <w:r>
        <w:rPr>
          <w:rFonts w:ascii="宋体" w:hAnsi="宋体"/>
          <w:szCs w:val="21"/>
          <w:highlight w:val="none"/>
        </w:rPr>
        <w:t>甲方向乙方提供资产评估申报表、权属证明以及</w:t>
      </w:r>
      <w:r>
        <w:rPr>
          <w:rFonts w:hint="eastAsia" w:ascii="宋体" w:hAnsi="宋体"/>
          <w:szCs w:val="21"/>
          <w:highlight w:val="none"/>
        </w:rPr>
        <w:t>其他评估所需</w:t>
      </w:r>
      <w:r>
        <w:rPr>
          <w:rFonts w:ascii="宋体" w:hAnsi="宋体"/>
          <w:szCs w:val="21"/>
          <w:highlight w:val="none"/>
        </w:rPr>
        <w:t>的资料；乙方收到甲方提供的全部评估申报资料后</w:t>
      </w:r>
      <w:r>
        <w:rPr>
          <w:rFonts w:hint="eastAsia" w:ascii="宋体" w:hAnsi="宋体"/>
          <w:szCs w:val="21"/>
          <w:highlight w:val="none"/>
        </w:rPr>
        <w:t xml:space="preserve"> </w:t>
      </w:r>
      <w:r>
        <w:rPr>
          <w:rFonts w:hint="eastAsia" w:ascii="宋体" w:hAnsi="宋体"/>
          <w:szCs w:val="21"/>
          <w:highlight w:val="none"/>
          <w:u w:val="single"/>
          <w:lang w:val="en-US" w:eastAsia="zh-CN"/>
        </w:rPr>
        <w:t>15</w:t>
      </w:r>
      <w:r>
        <w:rPr>
          <w:rFonts w:ascii="宋体" w:hAnsi="宋体"/>
          <w:szCs w:val="21"/>
          <w:highlight w:val="none"/>
        </w:rPr>
        <w:t>日内完成甲方委托的评估工作，并向甲方提</w:t>
      </w:r>
      <w:r>
        <w:rPr>
          <w:rFonts w:hint="eastAsia" w:ascii="宋体" w:hAnsi="宋体"/>
          <w:szCs w:val="21"/>
          <w:highlight w:val="none"/>
        </w:rPr>
        <w:t>交资产评估报告交换意见稿</w:t>
      </w:r>
      <w:r>
        <w:rPr>
          <w:rFonts w:ascii="宋体" w:hAnsi="宋体"/>
          <w:szCs w:val="21"/>
          <w:highlight w:val="none"/>
        </w:rPr>
        <w:t>。</w:t>
      </w:r>
      <w:r>
        <w:rPr>
          <w:rFonts w:hint="eastAsia" w:ascii="宋体" w:hAnsi="宋体"/>
          <w:szCs w:val="21"/>
          <w:highlight w:val="none"/>
        </w:rPr>
        <w:t>经充分交换意见后，乙方向甲方出具正式的资产评估报告，并以快递、专人送达、自取等方式交付甲方。</w:t>
      </w:r>
    </w:p>
    <w:p w14:paraId="31A86DF6">
      <w:pPr>
        <w:spacing w:line="460" w:lineRule="exact"/>
        <w:ind w:firstLine="420" w:firstLineChars="200"/>
        <w:rPr>
          <w:rFonts w:ascii="宋体" w:hAnsi="宋体"/>
          <w:szCs w:val="21"/>
          <w:highlight w:val="none"/>
        </w:rPr>
      </w:pPr>
      <w:r>
        <w:rPr>
          <w:rFonts w:hint="eastAsia" w:ascii="宋体" w:hAnsi="宋体"/>
          <w:szCs w:val="21"/>
          <w:highlight w:val="none"/>
        </w:rPr>
        <w:t>若因不可抗力因素或甲方提供的资料不完整、不及时等原因影响出具正式资产评估报告的，乙方出具资产评估报告的时间可以顺延，直至达到出具报告的条件。</w:t>
      </w:r>
    </w:p>
    <w:p w14:paraId="1C0C917F">
      <w:pPr>
        <w:spacing w:line="460" w:lineRule="exact"/>
        <w:ind w:firstLine="422" w:firstLineChars="200"/>
        <w:rPr>
          <w:rFonts w:ascii="宋体" w:hAnsi="宋体"/>
          <w:b/>
          <w:bCs/>
          <w:szCs w:val="21"/>
          <w:highlight w:val="none"/>
        </w:rPr>
      </w:pPr>
      <w:r>
        <w:rPr>
          <w:rFonts w:hint="eastAsia" w:ascii="宋体" w:hAnsi="宋体"/>
          <w:b/>
          <w:bCs/>
          <w:szCs w:val="21"/>
          <w:highlight w:val="none"/>
        </w:rPr>
        <w:t>七、评估服务费总额、支付时间及支付方式</w:t>
      </w:r>
    </w:p>
    <w:p w14:paraId="678CA1F8">
      <w:pPr>
        <w:spacing w:line="4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.根据国家有关规定和被评估资产的实际情况，经协商本次资产评估服务费总额为：</w:t>
      </w:r>
      <w:r>
        <w:rPr>
          <w:rFonts w:hint="eastAsia" w:ascii="宋体" w:hAnsi="宋体"/>
          <w:szCs w:val="21"/>
          <w:highlight w:val="none"/>
          <w:u w:val="single"/>
        </w:rPr>
        <w:t>人民币</w:t>
      </w:r>
      <w:r>
        <w:rPr>
          <w:rFonts w:hint="eastAsia" w:ascii="宋体" w:hAnsi="宋体"/>
          <w:szCs w:val="21"/>
          <w:highlight w:val="none"/>
          <w:u w:val="single"/>
          <w:lang w:val="en-US" w:eastAsia="zh-CN"/>
        </w:rPr>
        <w:t xml:space="preserve">    万</w:t>
      </w:r>
      <w:r>
        <w:rPr>
          <w:rFonts w:hint="eastAsia" w:ascii="宋体" w:hAnsi="宋体"/>
          <w:szCs w:val="21"/>
          <w:highlight w:val="none"/>
          <w:u w:val="single"/>
        </w:rPr>
        <w:t>元整（￥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）（含税</w:t>
      </w:r>
      <w:r>
        <w:rPr>
          <w:rFonts w:hint="eastAsia" w:ascii="宋体" w:hAnsi="宋体"/>
          <w:szCs w:val="21"/>
          <w:highlight w:val="none"/>
          <w:u w:val="single"/>
          <w:lang w:val="en-US" w:eastAsia="zh-CN"/>
        </w:rPr>
        <w:t>6%</w:t>
      </w:r>
      <w:r>
        <w:rPr>
          <w:rFonts w:hint="eastAsia" w:ascii="宋体" w:hAnsi="宋体"/>
          <w:szCs w:val="21"/>
          <w:highlight w:val="none"/>
          <w:u w:val="single"/>
        </w:rPr>
        <w:t>）</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上述费用已经包含所有甲方应支付费用，乙方不得主张任何其他费用</w:t>
      </w:r>
      <w:r>
        <w:rPr>
          <w:rFonts w:hint="eastAsia" w:ascii="宋体" w:hAnsi="宋体"/>
          <w:szCs w:val="21"/>
          <w:highlight w:val="none"/>
          <w:u w:val="single"/>
        </w:rPr>
        <w:t>。</w:t>
      </w:r>
    </w:p>
    <w:p w14:paraId="219EA6F5">
      <w:pPr>
        <w:spacing w:line="460" w:lineRule="exact"/>
        <w:ind w:firstLine="420" w:firstLineChars="200"/>
        <w:rPr>
          <w:rFonts w:hint="eastAsia" w:ascii="宋体" w:hAnsi="宋体" w:eastAsia="宋体"/>
          <w:szCs w:val="21"/>
          <w:highlight w:val="none"/>
          <w:lang w:eastAsia="zh-CN"/>
        </w:rPr>
      </w:pPr>
      <w:r>
        <w:rPr>
          <w:rFonts w:ascii="宋体" w:hAnsi="宋体"/>
          <w:szCs w:val="21"/>
          <w:highlight w:val="none"/>
        </w:rPr>
        <w:t>2</w:t>
      </w:r>
      <w:r>
        <w:rPr>
          <w:rFonts w:hint="eastAsia" w:ascii="宋体" w:hAnsi="宋体"/>
          <w:szCs w:val="21"/>
          <w:highlight w:val="none"/>
        </w:rPr>
        <w:t>.支付时间及支付方式：乙方交付</w:t>
      </w:r>
      <w:r>
        <w:rPr>
          <w:rFonts w:hint="eastAsia" w:ascii="宋体" w:hAnsi="宋体"/>
          <w:szCs w:val="21"/>
          <w:highlight w:val="none"/>
          <w:lang w:val="en-US" w:eastAsia="zh-CN"/>
        </w:rPr>
        <w:t>经验收通过的纸质版评估</w:t>
      </w:r>
      <w:r>
        <w:rPr>
          <w:rFonts w:hint="eastAsia" w:ascii="宋体" w:hAnsi="宋体"/>
          <w:szCs w:val="21"/>
          <w:highlight w:val="none"/>
        </w:rPr>
        <w:t>报告书</w:t>
      </w:r>
      <w:r>
        <w:rPr>
          <w:rFonts w:hint="eastAsia" w:ascii="宋体" w:hAnsi="宋体"/>
          <w:szCs w:val="21"/>
          <w:highlight w:val="none"/>
          <w:lang w:val="en-US" w:eastAsia="zh-CN"/>
        </w:rPr>
        <w:t>后</w:t>
      </w:r>
      <w:r>
        <w:rPr>
          <w:rFonts w:hint="eastAsia" w:ascii="宋体" w:hAnsi="宋体"/>
          <w:szCs w:val="21"/>
          <w:highlight w:val="none"/>
        </w:rPr>
        <w:t>，甲方支付全额评估费。</w:t>
      </w:r>
      <w:r>
        <w:rPr>
          <w:rFonts w:hint="eastAsia" w:ascii="宋体" w:hAnsi="宋体"/>
          <w:szCs w:val="21"/>
          <w:highlight w:val="none"/>
          <w:lang w:val="en-US" w:eastAsia="zh-CN"/>
        </w:rPr>
        <w:t>甲方付费前，乙方应先提供相应的增值税发票</w:t>
      </w:r>
      <w:r>
        <w:rPr>
          <w:rFonts w:hint="eastAsia" w:ascii="宋体" w:hAnsi="宋体"/>
          <w:szCs w:val="21"/>
          <w:highlight w:val="none"/>
        </w:rPr>
        <w:t>。</w:t>
      </w:r>
      <w:r>
        <w:rPr>
          <w:rFonts w:hint="eastAsia" w:ascii="宋体" w:hAnsi="宋体"/>
          <w:szCs w:val="21"/>
          <w:highlight w:val="none"/>
          <w:lang w:val="en-US" w:eastAsia="zh-CN"/>
        </w:rPr>
        <w:t>甲方</w:t>
      </w:r>
      <w:r>
        <w:rPr>
          <w:rFonts w:hint="eastAsia" w:ascii="宋体" w:hAnsi="宋体"/>
          <w:szCs w:val="21"/>
          <w:highlight w:val="none"/>
        </w:rPr>
        <w:t>收到纸质报告和增值税专用发票后一个月内付清全部费用</w:t>
      </w:r>
      <w:r>
        <w:rPr>
          <w:rFonts w:hint="eastAsia" w:ascii="宋体" w:hAnsi="宋体"/>
          <w:szCs w:val="21"/>
          <w:highlight w:val="none"/>
          <w:lang w:eastAsia="zh-CN"/>
        </w:rPr>
        <w:t>。</w:t>
      </w:r>
    </w:p>
    <w:p w14:paraId="48CC604F">
      <w:pPr>
        <w:spacing w:line="46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.甲方以转账的方式向乙方支付评估费用，乙方收款信息如下：</w:t>
      </w:r>
    </w:p>
    <w:p w14:paraId="2EEE76B0">
      <w:pPr>
        <w:spacing w:line="460" w:lineRule="exact"/>
        <w:ind w:firstLine="420" w:firstLineChars="200"/>
        <w:rPr>
          <w:rFonts w:ascii="宋体" w:hAnsi="宋体"/>
          <w:szCs w:val="21"/>
          <w:highlight w:val="none"/>
        </w:rPr>
      </w:pPr>
      <w:r>
        <w:rPr>
          <w:rFonts w:hint="eastAsia" w:ascii="宋体" w:hAnsi="宋体"/>
          <w:szCs w:val="21"/>
          <w:highlight w:val="none"/>
        </w:rPr>
        <w:t>账户名称：</w:t>
      </w:r>
    </w:p>
    <w:p w14:paraId="42732630">
      <w:pPr>
        <w:spacing w:line="460" w:lineRule="exact"/>
        <w:ind w:firstLine="420" w:firstLineChars="200"/>
        <w:rPr>
          <w:rFonts w:hint="eastAsia" w:ascii="宋体" w:hAnsi="宋体"/>
          <w:szCs w:val="21"/>
          <w:highlight w:val="none"/>
        </w:rPr>
      </w:pPr>
      <w:r>
        <w:rPr>
          <w:rFonts w:hint="eastAsia" w:ascii="宋体" w:hAnsi="宋体"/>
          <w:szCs w:val="21"/>
          <w:highlight w:val="none"/>
        </w:rPr>
        <w:t>开户银行：</w:t>
      </w:r>
    </w:p>
    <w:p w14:paraId="56B480A8">
      <w:pPr>
        <w:spacing w:line="460" w:lineRule="exact"/>
        <w:ind w:firstLine="420" w:firstLineChars="200"/>
        <w:rPr>
          <w:rFonts w:hint="eastAsia" w:ascii="宋体" w:hAnsi="宋体"/>
          <w:szCs w:val="21"/>
          <w:highlight w:val="none"/>
        </w:rPr>
      </w:pPr>
      <w:r>
        <w:rPr>
          <w:rFonts w:hint="eastAsia" w:ascii="宋体" w:hAnsi="宋体"/>
          <w:szCs w:val="21"/>
          <w:highlight w:val="none"/>
        </w:rPr>
        <w:t>银行账号：</w:t>
      </w:r>
    </w:p>
    <w:p w14:paraId="6DF2FE26">
      <w:pPr>
        <w:spacing w:line="460" w:lineRule="exact"/>
        <w:ind w:firstLine="422" w:firstLineChars="200"/>
        <w:rPr>
          <w:rFonts w:ascii="宋体" w:hAnsi="宋体"/>
          <w:b/>
          <w:bCs/>
          <w:szCs w:val="21"/>
          <w:highlight w:val="none"/>
        </w:rPr>
      </w:pPr>
      <w:r>
        <w:rPr>
          <w:rFonts w:hint="eastAsia" w:ascii="宋体" w:hAnsi="宋体"/>
          <w:b/>
          <w:bCs/>
          <w:szCs w:val="21"/>
          <w:highlight w:val="none"/>
        </w:rPr>
        <w:t>八、其他权利和义务</w:t>
      </w:r>
    </w:p>
    <w:p w14:paraId="04810637">
      <w:pPr>
        <w:spacing w:line="4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.甲方应当为乙方及其资产评估专业人员开展资产评估业务提供必要的工作条件和协助；甲方应当根据资产评估业务需要，负责乙方及其资产评估专业人员与其他相关当事人之间的协调。</w:t>
      </w:r>
    </w:p>
    <w:p w14:paraId="202B24FE">
      <w:pPr>
        <w:spacing w:line="460" w:lineRule="exact"/>
        <w:ind w:firstLine="420" w:firstLineChars="200"/>
        <w:rPr>
          <w:rFonts w:ascii="宋体" w:hAnsi="宋体"/>
          <w:szCs w:val="21"/>
          <w:highlight w:val="none"/>
        </w:rPr>
      </w:pPr>
      <w:r>
        <w:rPr>
          <w:rFonts w:hint="eastAsia" w:ascii="宋体" w:hAnsi="宋体"/>
          <w:szCs w:val="21"/>
          <w:highlight w:val="none"/>
        </w:rPr>
        <w:t>2.遵守相关法律、行政法规和资产评估准则，对评估对象在评估基准日特定目的下的价值进行分析和估算并出具资产评估报告，是乙方及其资产评估专业人员的责任。</w:t>
      </w:r>
    </w:p>
    <w:p w14:paraId="63596C88">
      <w:pPr>
        <w:spacing w:line="46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.依法提供资产评估业务需要的资料并保证资料的真实性、完整性、合法性，恰当使用资产评估报告是甲方和其他相关当事人的责任。</w:t>
      </w:r>
    </w:p>
    <w:p w14:paraId="5CB919A9">
      <w:pPr>
        <w:spacing w:line="46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.甲方或者其他相关当事人应当对其提供的资产评估明细表及其他重要资料的真实性、完整性、合法性进行确认，确认方式包括签字、盖章或者法律允许的其他方式。</w:t>
      </w:r>
    </w:p>
    <w:p w14:paraId="79EFF438">
      <w:pPr>
        <w:spacing w:line="460" w:lineRule="exact"/>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.甲方和其他相关当事人如果拒绝提供或者不如实提供开展资产评估业务所需的权属证明、财务会计信息或者其他相关资料的，乙方有权拒绝履行资产评估委托合同。</w:t>
      </w:r>
    </w:p>
    <w:p w14:paraId="55A7D55F">
      <w:pPr>
        <w:spacing w:line="460" w:lineRule="exact"/>
        <w:ind w:firstLine="420" w:firstLineChars="200"/>
        <w:rPr>
          <w:rFonts w:ascii="宋体" w:hAnsi="宋体"/>
          <w:szCs w:val="21"/>
          <w:highlight w:val="none"/>
        </w:rPr>
      </w:pPr>
      <w:r>
        <w:rPr>
          <w:rFonts w:hint="eastAsia" w:ascii="宋体" w:hAnsi="宋体"/>
          <w:szCs w:val="21"/>
          <w:highlight w:val="none"/>
        </w:rPr>
        <w:t>6.甲方提前终止资产评估业务、解除资产评估委托合同的，甲方应当按照已经开展资产评估业务的时间、进度，或者已经完成的工作量支付相应的评估服务费。</w:t>
      </w:r>
    </w:p>
    <w:p w14:paraId="51A515DA">
      <w:pPr>
        <w:spacing w:line="460" w:lineRule="exact"/>
        <w:ind w:firstLine="420" w:firstLineChars="200"/>
        <w:rPr>
          <w:rFonts w:ascii="宋体" w:hAnsi="宋体"/>
          <w:szCs w:val="21"/>
          <w:highlight w:val="none"/>
        </w:rPr>
      </w:pPr>
      <w:r>
        <w:rPr>
          <w:rFonts w:ascii="宋体" w:hAnsi="宋体"/>
          <w:szCs w:val="21"/>
          <w:highlight w:val="none"/>
        </w:rPr>
        <w:t>7</w:t>
      </w:r>
      <w:r>
        <w:rPr>
          <w:rFonts w:hint="eastAsia" w:ascii="宋体" w:hAnsi="宋体"/>
          <w:szCs w:val="21"/>
          <w:highlight w:val="none"/>
        </w:rPr>
        <w:t>.甲方要求出具虚假资产评估报告或者有其他非法干预评估结论情形的，乙方有权单方解除资产评估委托合同。甲方应按照已经开展资产评估业务的时间、进度，或者已经完成的工作量支付相应的评估服务费。</w:t>
      </w:r>
    </w:p>
    <w:p w14:paraId="7AAE9D82">
      <w:pPr>
        <w:spacing w:line="460" w:lineRule="exact"/>
        <w:ind w:firstLine="420" w:firstLineChars="200"/>
        <w:rPr>
          <w:rFonts w:ascii="宋体" w:hAnsi="宋体"/>
          <w:szCs w:val="21"/>
          <w:highlight w:val="none"/>
        </w:rPr>
      </w:pPr>
      <w:r>
        <w:rPr>
          <w:rFonts w:hint="eastAsia" w:ascii="宋体" w:hAnsi="宋体"/>
          <w:szCs w:val="21"/>
          <w:highlight w:val="none"/>
        </w:rPr>
        <w:t>8.甲方或者其他相关当事人原因导致资产评估程序受限，乙方无法履行资产评估委托合同，乙方可以单方解除资产评估委托合同；甲方应按照已经开展资产评估业务的时间、进度，或者已经完成的工作量支付相应的评估服务费。</w:t>
      </w:r>
    </w:p>
    <w:p w14:paraId="74F69383">
      <w:pPr>
        <w:spacing w:line="460" w:lineRule="exact"/>
        <w:ind w:firstLine="420" w:firstLineChars="200"/>
        <w:rPr>
          <w:rFonts w:ascii="新宋体" w:hAnsi="新宋体" w:eastAsia="新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在评估过程中，若因甲方原因提出重大更改，造成乙方返工，双方应另行协商，加收评估服务费用和延长出具《资产评估报告书》时间</w:t>
      </w:r>
      <w:r>
        <w:rPr>
          <w:rFonts w:hint="eastAsia" w:ascii="宋体" w:hAnsi="宋体"/>
          <w:szCs w:val="21"/>
          <w:highlight w:val="none"/>
        </w:rPr>
        <w:t>。</w:t>
      </w:r>
    </w:p>
    <w:p w14:paraId="00BE68AF">
      <w:pPr>
        <w:spacing w:line="460" w:lineRule="exact"/>
        <w:ind w:firstLine="422" w:firstLineChars="200"/>
        <w:rPr>
          <w:rFonts w:ascii="宋体" w:hAnsi="宋体"/>
          <w:b/>
          <w:bCs/>
          <w:szCs w:val="21"/>
          <w:highlight w:val="none"/>
        </w:rPr>
      </w:pPr>
      <w:r>
        <w:rPr>
          <w:rFonts w:hint="eastAsia" w:ascii="宋体" w:hAnsi="宋体"/>
          <w:b/>
          <w:bCs/>
          <w:szCs w:val="21"/>
          <w:highlight w:val="none"/>
        </w:rPr>
        <w:t>九、违约责任和争议解决</w:t>
      </w:r>
    </w:p>
    <w:p w14:paraId="2E81F044">
      <w:pPr>
        <w:spacing w:line="4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甲方拒绝或未按期向乙方支付评估业务费，乙方有权停止工作或不向甲方提供评估报告；</w:t>
      </w:r>
    </w:p>
    <w:p w14:paraId="208A73C3">
      <w:pPr>
        <w:spacing w:line="46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如乙方无故终止履行本</w:t>
      </w:r>
      <w:r>
        <w:rPr>
          <w:rFonts w:hint="eastAsia" w:ascii="宋体" w:hAnsi="宋体"/>
          <w:szCs w:val="21"/>
          <w:highlight w:val="none"/>
        </w:rPr>
        <w:t>合同约定</w:t>
      </w:r>
      <w:r>
        <w:rPr>
          <w:rFonts w:ascii="宋体" w:hAnsi="宋体"/>
          <w:szCs w:val="21"/>
          <w:highlight w:val="none"/>
        </w:rPr>
        <w:t>，所收评估服务费用应退还甲方；如甲方无故终止</w:t>
      </w:r>
      <w:r>
        <w:rPr>
          <w:rFonts w:hint="eastAsia" w:ascii="宋体" w:hAnsi="宋体"/>
          <w:szCs w:val="21"/>
          <w:highlight w:val="none"/>
        </w:rPr>
        <w:t>履行</w:t>
      </w:r>
      <w:r>
        <w:rPr>
          <w:rFonts w:ascii="宋体" w:hAnsi="宋体"/>
          <w:szCs w:val="21"/>
          <w:highlight w:val="none"/>
        </w:rPr>
        <w:t>本合同</w:t>
      </w:r>
      <w:r>
        <w:rPr>
          <w:rFonts w:hint="eastAsia" w:ascii="宋体" w:hAnsi="宋体"/>
          <w:szCs w:val="21"/>
          <w:highlight w:val="none"/>
        </w:rPr>
        <w:t>约定</w:t>
      </w:r>
      <w:r>
        <w:rPr>
          <w:rFonts w:ascii="宋体" w:hAnsi="宋体"/>
          <w:szCs w:val="21"/>
          <w:highlight w:val="none"/>
        </w:rPr>
        <w:t>，乙方有权终止评估业务并且不退还</w:t>
      </w:r>
      <w:r>
        <w:rPr>
          <w:rFonts w:hint="eastAsia" w:ascii="宋体" w:hAnsi="宋体"/>
          <w:szCs w:val="21"/>
          <w:highlight w:val="none"/>
        </w:rPr>
        <w:t>已收取的</w:t>
      </w:r>
      <w:r>
        <w:rPr>
          <w:rFonts w:ascii="宋体" w:hAnsi="宋体"/>
          <w:szCs w:val="21"/>
          <w:highlight w:val="none"/>
        </w:rPr>
        <w:t>评估服务费</w:t>
      </w:r>
      <w:r>
        <w:rPr>
          <w:rFonts w:hint="eastAsia" w:ascii="宋体" w:hAnsi="宋体"/>
          <w:szCs w:val="21"/>
          <w:highlight w:val="none"/>
        </w:rPr>
        <w:t>，同时乙方有权收取剩余未收取的评估服务费</w:t>
      </w:r>
      <w:r>
        <w:rPr>
          <w:rFonts w:ascii="宋体" w:hAnsi="宋体"/>
          <w:szCs w:val="21"/>
          <w:highlight w:val="none"/>
        </w:rPr>
        <w:t xml:space="preserve">。 </w:t>
      </w:r>
    </w:p>
    <w:p w14:paraId="252D4921">
      <w:pPr>
        <w:spacing w:line="46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ascii="宋体" w:hAnsi="宋体"/>
          <w:szCs w:val="21"/>
          <w:highlight w:val="none"/>
        </w:rPr>
        <w:t>甲方未及时向乙方提供资产评估所需的文件、资料，或提供的文件和资料不真实，因此产生的不良后果由甲方负责，乙方不承担责任。</w:t>
      </w:r>
    </w:p>
    <w:p w14:paraId="483F744D">
      <w:pPr>
        <w:spacing w:line="46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.甲乙双方因不可抗力无法履行资产评估委托合同的，根据不可抗力的影响，部分或者全部免除责任，法律另有规定的除外。</w:t>
      </w:r>
    </w:p>
    <w:p w14:paraId="62D47BED">
      <w:pPr>
        <w:spacing w:line="460" w:lineRule="exact"/>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.本合同或与本合同有关的一切争议，双方应友好协商解决；协商不成的，提请本合同签署地人民法院裁定</w:t>
      </w:r>
      <w:r>
        <w:rPr>
          <w:rFonts w:ascii="宋体" w:hAnsi="宋体"/>
          <w:szCs w:val="21"/>
          <w:highlight w:val="none"/>
        </w:rPr>
        <w:t>。</w:t>
      </w:r>
    </w:p>
    <w:p w14:paraId="49FF6061">
      <w:pPr>
        <w:spacing w:line="460" w:lineRule="exact"/>
        <w:ind w:firstLine="422" w:firstLineChars="200"/>
        <w:rPr>
          <w:rFonts w:ascii="宋体" w:hAnsi="宋体"/>
          <w:b/>
          <w:bCs/>
          <w:szCs w:val="21"/>
          <w:highlight w:val="none"/>
        </w:rPr>
      </w:pPr>
      <w:r>
        <w:rPr>
          <w:rFonts w:hint="eastAsia" w:ascii="宋体" w:hAnsi="宋体"/>
          <w:b/>
          <w:bCs/>
          <w:szCs w:val="21"/>
          <w:highlight w:val="none"/>
        </w:rPr>
        <w:t>十、其他事项</w:t>
      </w:r>
    </w:p>
    <w:p w14:paraId="7A5FCB12">
      <w:pPr>
        <w:spacing w:line="4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.本合同正本壹式肆份，甲乙双方各执贰份，具有同等法律效力。本合同经双方加盖公章（或合同专用章）后生效。</w:t>
      </w:r>
    </w:p>
    <w:p w14:paraId="30B35C66">
      <w:pPr>
        <w:spacing w:line="46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资产评估委托合同订立后发现相关事项存在遗漏、约定不明确，或者在合同履行中约定内容发生变化的，乙方可以要求与甲方订立补充合同或者重新订立资产评估委托合同，或者以法律允许的其他方式对资产评估委托合同的相关条款进行变更。</w:t>
      </w:r>
    </w:p>
    <w:p w14:paraId="6E32BBFA">
      <w:pPr>
        <w:pStyle w:val="5"/>
        <w:spacing w:line="460" w:lineRule="exact"/>
        <w:ind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3.本合同未尽事宜，由双方协商解决。</w:t>
      </w:r>
    </w:p>
    <w:p w14:paraId="6BC09646">
      <w:pPr>
        <w:pStyle w:val="5"/>
        <w:rPr>
          <w:highlight w:val="none"/>
        </w:rPr>
      </w:pPr>
    </w:p>
    <w:p w14:paraId="56BB08C6">
      <w:pPr>
        <w:pStyle w:val="5"/>
        <w:rPr>
          <w:highlight w:val="none"/>
        </w:rPr>
      </w:pPr>
    </w:p>
    <w:p w14:paraId="12F17F71">
      <w:pPr>
        <w:pStyle w:val="5"/>
        <w:rPr>
          <w:highlight w:val="none"/>
        </w:rPr>
      </w:pPr>
    </w:p>
    <w:p w14:paraId="2BCBAAB6">
      <w:pPr>
        <w:pStyle w:val="5"/>
        <w:rPr>
          <w:highlight w:val="none"/>
        </w:rPr>
      </w:pPr>
    </w:p>
    <w:p w14:paraId="4A747EB5">
      <w:pPr>
        <w:spacing w:line="0" w:lineRule="atLeast"/>
        <w:rPr>
          <w:rFonts w:asciiTheme="minorEastAsia" w:hAnsiTheme="minorEastAsia" w:eastAsiaTheme="minorEastAsia" w:cstheme="minorEastAsia"/>
          <w:b/>
          <w:szCs w:val="21"/>
          <w:highlight w:val="none"/>
        </w:rPr>
      </w:pPr>
      <w:bookmarkStart w:id="10" w:name="_Hlk160526859"/>
    </w:p>
    <w:p w14:paraId="0843652B">
      <w:pPr>
        <w:pStyle w:val="5"/>
        <w:rPr>
          <w:highlight w:val="none"/>
        </w:rPr>
      </w:pPr>
    </w:p>
    <w:p w14:paraId="2EA91D36">
      <w:pPr>
        <w:spacing w:after="156" w:afterLines="50" w:line="24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 xml:space="preserve">甲方（盖章）:  </w:t>
      </w:r>
    </w:p>
    <w:p w14:paraId="6FA418DD">
      <w:pPr>
        <w:spacing w:line="240" w:lineRule="auto"/>
        <w:rPr>
          <w:rFonts w:asciiTheme="minorEastAsia" w:hAnsiTheme="minorEastAsia" w:eastAsiaTheme="minorEastAsia" w:cstheme="minorEastAsia"/>
          <w:szCs w:val="21"/>
          <w:highlight w:val="none"/>
        </w:rPr>
      </w:pPr>
    </w:p>
    <w:p w14:paraId="0913605C">
      <w:pPr>
        <w:spacing w:line="24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法定代表人（或授权代表）：      </w:t>
      </w:r>
    </w:p>
    <w:p w14:paraId="1C407FF4">
      <w:pPr>
        <w:spacing w:line="0" w:lineRule="atLeast"/>
        <w:rPr>
          <w:rFonts w:asciiTheme="minorEastAsia" w:hAnsiTheme="minorEastAsia" w:eastAsiaTheme="minorEastAsia" w:cstheme="minorEastAsia"/>
          <w:szCs w:val="21"/>
          <w:highlight w:val="none"/>
        </w:rPr>
      </w:pPr>
    </w:p>
    <w:p w14:paraId="430999E7">
      <w:pPr>
        <w:pStyle w:val="5"/>
        <w:rPr>
          <w:highlight w:val="none"/>
        </w:rPr>
      </w:pPr>
    </w:p>
    <w:p w14:paraId="7160BD13">
      <w:pPr>
        <w:pStyle w:val="5"/>
        <w:rPr>
          <w:highlight w:val="none"/>
        </w:rPr>
      </w:pPr>
    </w:p>
    <w:p w14:paraId="68C74DC0">
      <w:pPr>
        <w:pStyle w:val="5"/>
        <w:rPr>
          <w:highlight w:val="none"/>
        </w:rPr>
      </w:pPr>
    </w:p>
    <w:p w14:paraId="2EA2D2D6">
      <w:pPr>
        <w:spacing w:line="0" w:lineRule="atLeast"/>
        <w:rPr>
          <w:rFonts w:asciiTheme="minorEastAsia" w:hAnsiTheme="minorEastAsia" w:eastAsiaTheme="minorEastAsia" w:cstheme="minorEastAsia"/>
          <w:szCs w:val="21"/>
          <w:highlight w:val="none"/>
        </w:rPr>
      </w:pPr>
    </w:p>
    <w:p w14:paraId="5A8B72AA">
      <w:pPr>
        <w:spacing w:after="156" w:afterLines="50" w:line="24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乙方(盖章)：</w:t>
      </w:r>
    </w:p>
    <w:p w14:paraId="7649ACE4">
      <w:pPr>
        <w:spacing w:line="240" w:lineRule="auto"/>
        <w:rPr>
          <w:rFonts w:asciiTheme="minorEastAsia" w:hAnsiTheme="minorEastAsia" w:eastAsiaTheme="minorEastAsia" w:cstheme="minorEastAsia"/>
          <w:szCs w:val="21"/>
          <w:highlight w:val="none"/>
        </w:rPr>
      </w:pPr>
    </w:p>
    <w:p w14:paraId="7D4A53A5">
      <w:pPr>
        <w:spacing w:line="24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法定代表人（或授权代表）：</w:t>
      </w:r>
    </w:p>
    <w:p w14:paraId="48ED20E3">
      <w:pPr>
        <w:spacing w:line="0" w:lineRule="atLeast"/>
        <w:rPr>
          <w:rFonts w:ascii="新宋体" w:hAnsi="新宋体" w:eastAsia="新宋体"/>
          <w:szCs w:val="21"/>
          <w:highlight w:val="none"/>
        </w:rPr>
      </w:pPr>
    </w:p>
    <w:p w14:paraId="63CAC4E7">
      <w:pPr>
        <w:pStyle w:val="5"/>
        <w:rPr>
          <w:highlight w:val="none"/>
        </w:rPr>
      </w:pPr>
    </w:p>
    <w:p w14:paraId="688DF6BC">
      <w:pPr>
        <w:pStyle w:val="5"/>
        <w:rPr>
          <w:highlight w:val="none"/>
        </w:rPr>
      </w:pPr>
    </w:p>
    <w:p w14:paraId="492A9ADD">
      <w:pPr>
        <w:pStyle w:val="5"/>
        <w:rPr>
          <w:highlight w:val="none"/>
        </w:rPr>
      </w:pPr>
    </w:p>
    <w:p w14:paraId="58B1FEC2">
      <w:pPr>
        <w:spacing w:line="360" w:lineRule="auto"/>
        <w:ind w:firstLine="5250" w:firstLineChars="2500"/>
        <w:rPr>
          <w:rFonts w:ascii="新宋体" w:hAnsi="新宋体" w:eastAsia="新宋体"/>
          <w:szCs w:val="21"/>
          <w:highlight w:val="none"/>
        </w:rPr>
      </w:pPr>
      <w:r>
        <w:rPr>
          <w:rFonts w:hint="eastAsia" w:ascii="新宋体" w:hAnsi="新宋体" w:eastAsia="新宋体"/>
          <w:szCs w:val="21"/>
          <w:highlight w:val="none"/>
        </w:rPr>
        <w:t>签署时间：     年    月    日</w:t>
      </w:r>
      <w:bookmarkEnd w:id="10"/>
    </w:p>
    <w:p w14:paraId="043BB61E">
      <w:pPr>
        <w:spacing w:line="0" w:lineRule="atLeast"/>
        <w:jc w:val="center"/>
        <w:rPr>
          <w:rFonts w:ascii="新宋体" w:hAnsi="新宋体" w:eastAsia="新宋体"/>
          <w:b/>
          <w:szCs w:val="21"/>
          <w:highlight w:val="none"/>
        </w:rPr>
      </w:pPr>
    </w:p>
    <w:p w14:paraId="6FAC855C">
      <w:pPr>
        <w:pStyle w:val="5"/>
        <w:rPr>
          <w:highlight w:val="none"/>
        </w:rPr>
      </w:pPr>
    </w:p>
    <w:p w14:paraId="55332109">
      <w:pPr>
        <w:pStyle w:val="5"/>
        <w:rPr>
          <w:rFonts w:hint="eastAsia" w:ascii="微软雅黑" w:hAnsi="微软雅黑" w:eastAsia="微软雅黑" w:cs="微软雅黑"/>
          <w:spacing w:val="0"/>
          <w:position w:val="0"/>
          <w:sz w:val="27"/>
          <w:szCs w:val="27"/>
          <w:lang w:val="en-US" w:eastAsia="zh-CN"/>
        </w:rPr>
      </w:pPr>
    </w:p>
    <w:bookmarkEnd w:id="5"/>
    <w:bookmarkEnd w:id="6"/>
    <w:bookmarkEnd w:id="7"/>
    <w:p w14:paraId="6A2B04E4">
      <w:pPr>
        <w:bidi w:val="0"/>
        <w:jc w:val="center"/>
        <w:rPr>
          <w:rFonts w:hint="eastAsia"/>
          <w:b/>
          <w:bCs/>
          <w:sz w:val="36"/>
          <w:szCs w:val="36"/>
          <w:lang w:val="en-US" w:eastAsia="zh-CN"/>
        </w:rPr>
      </w:pPr>
      <w:bookmarkStart w:id="11" w:name="_Toc96585093"/>
      <w:bookmarkStart w:id="12" w:name="_Toc414431079"/>
      <w:bookmarkStart w:id="13" w:name="_Toc2782"/>
      <w:bookmarkStart w:id="14" w:name="_Toc96584967"/>
      <w:bookmarkStart w:id="15" w:name="_Toc16449"/>
      <w:bookmarkStart w:id="16" w:name="_Toc135999006"/>
      <w:bookmarkStart w:id="17" w:name="_Toc161767428"/>
    </w:p>
    <w:p w14:paraId="0A9F62B1">
      <w:pPr>
        <w:bidi w:val="0"/>
        <w:jc w:val="center"/>
        <w:rPr>
          <w:rFonts w:hint="eastAsia"/>
          <w:b/>
          <w:bCs/>
          <w:sz w:val="36"/>
          <w:szCs w:val="36"/>
          <w:lang w:val="en-US" w:eastAsia="zh-CN"/>
        </w:rPr>
      </w:pPr>
    </w:p>
    <w:p w14:paraId="147A84A5">
      <w:pPr>
        <w:bidi w:val="0"/>
        <w:jc w:val="center"/>
        <w:rPr>
          <w:rFonts w:hint="eastAsia"/>
          <w:b/>
          <w:bCs/>
          <w:sz w:val="36"/>
          <w:szCs w:val="36"/>
          <w:lang w:val="en-US" w:eastAsia="zh-CN"/>
        </w:rPr>
      </w:pPr>
    </w:p>
    <w:p w14:paraId="6F64BAF0">
      <w:pPr>
        <w:bidi w:val="0"/>
        <w:jc w:val="center"/>
        <w:rPr>
          <w:rFonts w:hint="eastAsia"/>
          <w:b/>
          <w:bCs/>
          <w:sz w:val="36"/>
          <w:szCs w:val="36"/>
          <w:lang w:val="en-US" w:eastAsia="zh-CN"/>
        </w:rPr>
      </w:pPr>
    </w:p>
    <w:p w14:paraId="5739A9D4">
      <w:pPr>
        <w:bidi w:val="0"/>
        <w:jc w:val="center"/>
        <w:rPr>
          <w:rFonts w:hint="eastAsia"/>
          <w:b/>
          <w:bCs/>
          <w:sz w:val="36"/>
          <w:szCs w:val="36"/>
          <w:lang w:val="en-US" w:eastAsia="zh-CN"/>
        </w:rPr>
      </w:pPr>
    </w:p>
    <w:p w14:paraId="5B076B2A">
      <w:pPr>
        <w:bidi w:val="0"/>
        <w:jc w:val="center"/>
        <w:rPr>
          <w:rFonts w:hint="eastAsia"/>
          <w:b/>
          <w:bCs/>
          <w:sz w:val="36"/>
          <w:szCs w:val="36"/>
          <w:lang w:val="en-US" w:eastAsia="zh-CN"/>
        </w:rPr>
      </w:pPr>
    </w:p>
    <w:p w14:paraId="5875E93A">
      <w:pPr>
        <w:bidi w:val="0"/>
        <w:jc w:val="center"/>
        <w:rPr>
          <w:rFonts w:hint="eastAsia"/>
          <w:b/>
          <w:bCs/>
          <w:sz w:val="36"/>
          <w:szCs w:val="36"/>
          <w:lang w:val="en-US" w:eastAsia="zh-CN"/>
        </w:rPr>
      </w:pPr>
    </w:p>
    <w:p w14:paraId="179099F1">
      <w:pPr>
        <w:bidi w:val="0"/>
        <w:jc w:val="center"/>
        <w:rPr>
          <w:rFonts w:hint="eastAsia"/>
          <w:b/>
          <w:bCs/>
          <w:sz w:val="36"/>
          <w:szCs w:val="36"/>
          <w:lang w:val="en-US" w:eastAsia="zh-CN"/>
        </w:rPr>
      </w:pPr>
    </w:p>
    <w:p w14:paraId="4944BDB0">
      <w:pPr>
        <w:bidi w:val="0"/>
        <w:jc w:val="center"/>
        <w:rPr>
          <w:rFonts w:hint="eastAsia"/>
          <w:b/>
          <w:bCs/>
          <w:sz w:val="36"/>
          <w:szCs w:val="36"/>
          <w:lang w:val="en-US" w:eastAsia="zh-CN"/>
        </w:rPr>
      </w:pPr>
    </w:p>
    <w:p w14:paraId="5CFBCF08">
      <w:pPr>
        <w:bidi w:val="0"/>
        <w:jc w:val="center"/>
        <w:rPr>
          <w:rFonts w:hint="eastAsia"/>
          <w:b/>
          <w:bCs/>
          <w:sz w:val="36"/>
          <w:szCs w:val="36"/>
          <w:lang w:val="en-US" w:eastAsia="zh-CN"/>
        </w:rPr>
      </w:pPr>
    </w:p>
    <w:p w14:paraId="364D11DB">
      <w:pPr>
        <w:bidi w:val="0"/>
        <w:jc w:val="center"/>
        <w:rPr>
          <w:rFonts w:hint="eastAsia"/>
          <w:b/>
          <w:bCs/>
          <w:sz w:val="36"/>
          <w:szCs w:val="36"/>
          <w:lang w:val="en-US" w:eastAsia="zh-CN"/>
        </w:rPr>
      </w:pPr>
    </w:p>
    <w:p w14:paraId="195E52D6">
      <w:pPr>
        <w:bidi w:val="0"/>
        <w:jc w:val="center"/>
        <w:rPr>
          <w:rFonts w:hint="eastAsia"/>
          <w:b/>
          <w:bCs/>
          <w:sz w:val="36"/>
          <w:szCs w:val="36"/>
          <w:lang w:val="en-US" w:eastAsia="zh-CN"/>
        </w:rPr>
      </w:pPr>
    </w:p>
    <w:p w14:paraId="46824083">
      <w:pPr>
        <w:bidi w:val="0"/>
        <w:jc w:val="center"/>
        <w:rPr>
          <w:rFonts w:hint="eastAsia"/>
          <w:b/>
          <w:bCs/>
          <w:sz w:val="36"/>
          <w:szCs w:val="36"/>
          <w:lang w:val="en-US" w:eastAsia="zh-CN"/>
        </w:rPr>
      </w:pPr>
    </w:p>
    <w:p w14:paraId="6BBAE5F1">
      <w:pPr>
        <w:bidi w:val="0"/>
        <w:jc w:val="center"/>
        <w:rPr>
          <w:rFonts w:hint="eastAsia"/>
          <w:b/>
          <w:bCs/>
          <w:sz w:val="36"/>
          <w:szCs w:val="36"/>
          <w:lang w:val="en-US" w:eastAsia="zh-CN"/>
        </w:rPr>
      </w:pPr>
    </w:p>
    <w:p w14:paraId="00BB7BDC">
      <w:pPr>
        <w:bidi w:val="0"/>
        <w:jc w:val="center"/>
        <w:rPr>
          <w:rFonts w:hint="eastAsia"/>
          <w:b/>
          <w:bCs/>
          <w:sz w:val="36"/>
          <w:szCs w:val="36"/>
          <w:lang w:val="en-US" w:eastAsia="zh-CN"/>
        </w:rPr>
      </w:pPr>
    </w:p>
    <w:p w14:paraId="2FC2EE94">
      <w:pPr>
        <w:bidi w:val="0"/>
        <w:jc w:val="center"/>
        <w:rPr>
          <w:rFonts w:hint="eastAsia"/>
          <w:b/>
          <w:bCs/>
          <w:sz w:val="36"/>
          <w:szCs w:val="36"/>
          <w:lang w:val="en-US" w:eastAsia="zh-CN"/>
        </w:rPr>
      </w:pPr>
    </w:p>
    <w:p w14:paraId="119F8529">
      <w:pPr>
        <w:bidi w:val="0"/>
        <w:jc w:val="center"/>
        <w:rPr>
          <w:rFonts w:hint="eastAsia"/>
          <w:b/>
          <w:bCs/>
          <w:sz w:val="36"/>
          <w:szCs w:val="36"/>
          <w:lang w:val="en-US" w:eastAsia="zh-CN"/>
        </w:rPr>
      </w:pPr>
    </w:p>
    <w:p w14:paraId="01E8073A">
      <w:pPr>
        <w:bidi w:val="0"/>
        <w:jc w:val="center"/>
        <w:rPr>
          <w:rFonts w:hint="eastAsia"/>
          <w:b/>
          <w:bCs/>
          <w:sz w:val="36"/>
          <w:szCs w:val="36"/>
          <w:lang w:val="en-US" w:eastAsia="zh-CN"/>
        </w:rPr>
      </w:pPr>
    </w:p>
    <w:p w14:paraId="51E85AB5">
      <w:pPr>
        <w:bidi w:val="0"/>
        <w:jc w:val="center"/>
        <w:rPr>
          <w:rFonts w:hint="eastAsia"/>
          <w:b/>
          <w:bCs/>
          <w:sz w:val="36"/>
          <w:szCs w:val="36"/>
          <w:lang w:val="en-US" w:eastAsia="zh-CN"/>
        </w:rPr>
      </w:pPr>
    </w:p>
    <w:p w14:paraId="495688BB">
      <w:pPr>
        <w:bidi w:val="0"/>
        <w:jc w:val="center"/>
        <w:rPr>
          <w:rFonts w:hint="eastAsia"/>
          <w:b/>
          <w:bCs/>
          <w:sz w:val="36"/>
          <w:szCs w:val="36"/>
          <w:lang w:val="en-US" w:eastAsia="zh-CN"/>
        </w:rPr>
      </w:pPr>
    </w:p>
    <w:p w14:paraId="0C8B7812">
      <w:pPr>
        <w:bidi w:val="0"/>
        <w:jc w:val="center"/>
        <w:rPr>
          <w:rFonts w:hint="eastAsia"/>
          <w:b/>
          <w:bCs/>
          <w:sz w:val="36"/>
          <w:szCs w:val="36"/>
          <w:lang w:val="en-US" w:eastAsia="zh-CN"/>
        </w:rPr>
      </w:pPr>
    </w:p>
    <w:p w14:paraId="3395E757">
      <w:pPr>
        <w:bidi w:val="0"/>
        <w:jc w:val="center"/>
        <w:rPr>
          <w:rFonts w:hint="eastAsia"/>
          <w:b/>
          <w:bCs/>
          <w:sz w:val="36"/>
          <w:szCs w:val="36"/>
          <w:lang w:val="en-US" w:eastAsia="zh-CN"/>
        </w:rPr>
      </w:pPr>
      <w:r>
        <w:rPr>
          <w:rFonts w:hint="eastAsia"/>
          <w:b/>
          <w:bCs/>
          <w:sz w:val="36"/>
          <w:szCs w:val="36"/>
          <w:lang w:val="en-US" w:eastAsia="zh-CN"/>
        </w:rPr>
        <w:t>第四章 采购响应文件格式</w:t>
      </w:r>
      <w:bookmarkEnd w:id="11"/>
      <w:bookmarkEnd w:id="12"/>
      <w:bookmarkEnd w:id="13"/>
      <w:bookmarkEnd w:id="14"/>
    </w:p>
    <w:p w14:paraId="47CC5B0F">
      <w:pPr>
        <w:spacing w:line="360" w:lineRule="auto"/>
        <w:ind w:firstLine="900" w:firstLineChars="249"/>
        <w:rPr>
          <w:rFonts w:hint="eastAsia" w:asciiTheme="minorEastAsia" w:hAnsiTheme="minorEastAsia" w:eastAsiaTheme="minorEastAsia" w:cstheme="minorEastAsia"/>
          <w:b/>
          <w:bCs/>
          <w:sz w:val="36"/>
          <w:szCs w:val="36"/>
          <w:highlight w:val="none"/>
          <w:u w:val="single"/>
        </w:rPr>
      </w:pPr>
    </w:p>
    <w:p w14:paraId="33F2B11C">
      <w:pPr>
        <w:spacing w:line="360" w:lineRule="auto"/>
        <w:ind w:firstLine="900" w:firstLineChars="249"/>
        <w:rPr>
          <w:rFonts w:hint="eastAsia" w:asciiTheme="minorEastAsia" w:hAnsiTheme="minorEastAsia" w:eastAsiaTheme="minorEastAsia" w:cstheme="minorEastAsia"/>
          <w:b/>
          <w:bCs/>
          <w:sz w:val="36"/>
          <w:szCs w:val="36"/>
          <w:highlight w:val="none"/>
          <w:u w:val="single"/>
        </w:rPr>
      </w:pPr>
    </w:p>
    <w:p w14:paraId="2579A7BE">
      <w:pPr>
        <w:jc w:val="center"/>
        <w:rPr>
          <w:rFonts w:hint="eastAsia" w:asciiTheme="minorEastAsia" w:hAnsiTheme="minorEastAsia" w:eastAsiaTheme="minorEastAsia" w:cstheme="minorEastAsia"/>
          <w:b/>
          <w:spacing w:val="-20"/>
          <w:sz w:val="52"/>
          <w:szCs w:val="52"/>
          <w:highlight w:val="none"/>
        </w:rPr>
      </w:pPr>
      <w:bookmarkStart w:id="18" w:name="_Toc256695438"/>
      <w:bookmarkStart w:id="19" w:name="_Toc256691562"/>
      <w:r>
        <w:rPr>
          <w:rFonts w:hint="eastAsia" w:asciiTheme="minorEastAsia" w:hAnsiTheme="minorEastAsia" w:eastAsiaTheme="minorEastAsia" w:cstheme="minorEastAsia"/>
          <w:b/>
          <w:spacing w:val="-20"/>
          <w:sz w:val="52"/>
          <w:szCs w:val="52"/>
          <w:highlight w:val="none"/>
        </w:rPr>
        <w:t>中煤长江基础建设有限公司</w:t>
      </w:r>
    </w:p>
    <w:p w14:paraId="215D3CA6">
      <w:pPr>
        <w:jc w:val="center"/>
        <w:rPr>
          <w:rFonts w:hint="eastAsia" w:asciiTheme="minorEastAsia" w:hAnsiTheme="minorEastAsia" w:eastAsiaTheme="minorEastAsia" w:cstheme="minorEastAsia"/>
          <w:b/>
          <w:spacing w:val="-20"/>
          <w:sz w:val="52"/>
          <w:szCs w:val="52"/>
          <w:highlight w:val="none"/>
        </w:rPr>
      </w:pPr>
      <w:r>
        <w:rPr>
          <w:rFonts w:hint="eastAsia" w:asciiTheme="minorEastAsia" w:hAnsiTheme="minorEastAsia" w:eastAsiaTheme="minorEastAsia" w:cstheme="minorEastAsia"/>
          <w:b/>
          <w:spacing w:val="-20"/>
          <w:sz w:val="52"/>
          <w:szCs w:val="52"/>
          <w:highlight w:val="none"/>
        </w:rPr>
        <w:t>抵入资产评估项目</w:t>
      </w:r>
    </w:p>
    <w:p w14:paraId="6A1EF45E">
      <w:pPr>
        <w:jc w:val="center"/>
        <w:rPr>
          <w:rFonts w:hint="eastAsia" w:asciiTheme="minorEastAsia" w:hAnsiTheme="minorEastAsia" w:eastAsiaTheme="minorEastAsia" w:cstheme="minorEastAsia"/>
          <w:b/>
          <w:spacing w:val="-20"/>
          <w:sz w:val="52"/>
          <w:szCs w:val="52"/>
          <w:highlight w:val="none"/>
        </w:rPr>
      </w:pPr>
      <w:r>
        <w:rPr>
          <w:rFonts w:hint="eastAsia" w:asciiTheme="minorEastAsia" w:hAnsiTheme="minorEastAsia" w:eastAsiaTheme="minorEastAsia" w:cstheme="minorEastAsia"/>
          <w:b/>
          <w:spacing w:val="-20"/>
          <w:sz w:val="52"/>
          <w:szCs w:val="52"/>
          <w:highlight w:val="none"/>
        </w:rPr>
        <w:t>响应文件</w:t>
      </w:r>
      <w:bookmarkEnd w:id="18"/>
      <w:bookmarkEnd w:id="19"/>
    </w:p>
    <w:p w14:paraId="22F493BC">
      <w:pPr>
        <w:jc w:val="center"/>
        <w:rPr>
          <w:rFonts w:hint="eastAsia" w:asciiTheme="minorEastAsia" w:hAnsiTheme="minorEastAsia" w:eastAsiaTheme="minorEastAsia" w:cstheme="minorEastAsia"/>
          <w:sz w:val="32"/>
          <w:szCs w:val="32"/>
          <w:highlight w:val="none"/>
        </w:rPr>
      </w:pPr>
    </w:p>
    <w:p w14:paraId="3DA2D1CF">
      <w:pPr>
        <w:jc w:val="center"/>
        <w:rPr>
          <w:rFonts w:hint="eastAsia" w:asciiTheme="minorEastAsia" w:hAnsiTheme="minorEastAsia" w:eastAsiaTheme="minorEastAsia" w:cstheme="minorEastAsia"/>
          <w:sz w:val="32"/>
          <w:szCs w:val="32"/>
          <w:highlight w:val="none"/>
        </w:rPr>
      </w:pPr>
      <w:bookmarkStart w:id="20" w:name="_Toc256691563"/>
      <w:bookmarkStart w:id="21" w:name="_Toc256695439"/>
      <w:r>
        <w:rPr>
          <w:rFonts w:hint="eastAsia" w:asciiTheme="minorEastAsia" w:hAnsiTheme="minorEastAsia" w:eastAsiaTheme="minorEastAsia" w:cstheme="minorEastAsia"/>
          <w:sz w:val="32"/>
          <w:szCs w:val="32"/>
          <w:highlight w:val="none"/>
          <w:lang w:val="en-US" w:eastAsia="zh-CN"/>
        </w:rPr>
        <w:t>采购</w:t>
      </w:r>
      <w:r>
        <w:rPr>
          <w:rFonts w:hint="eastAsia" w:asciiTheme="minorEastAsia" w:hAnsiTheme="minorEastAsia" w:eastAsiaTheme="minorEastAsia" w:cstheme="minorEastAsia"/>
          <w:sz w:val="32"/>
          <w:szCs w:val="32"/>
          <w:highlight w:val="none"/>
        </w:rPr>
        <w:t>编号：(ZMCJ00CG20260096)</w:t>
      </w:r>
      <w:bookmarkEnd w:id="20"/>
      <w:bookmarkEnd w:id="21"/>
    </w:p>
    <w:p w14:paraId="394211D1">
      <w:pPr>
        <w:jc w:val="center"/>
        <w:rPr>
          <w:rFonts w:hint="eastAsia" w:asciiTheme="minorEastAsia" w:hAnsiTheme="minorEastAsia" w:eastAsiaTheme="minorEastAsia" w:cstheme="minorEastAsia"/>
          <w:sz w:val="52"/>
          <w:szCs w:val="52"/>
          <w:highlight w:val="none"/>
        </w:rPr>
      </w:pPr>
    </w:p>
    <w:p w14:paraId="16600A4E">
      <w:pPr>
        <w:jc w:val="center"/>
        <w:rPr>
          <w:rFonts w:hint="eastAsia" w:asciiTheme="minorEastAsia" w:hAnsiTheme="minorEastAsia" w:eastAsiaTheme="minorEastAsia" w:cstheme="minorEastAsia"/>
          <w:sz w:val="52"/>
          <w:szCs w:val="52"/>
          <w:highlight w:val="none"/>
        </w:rPr>
      </w:pPr>
    </w:p>
    <w:p w14:paraId="20B1BC0E">
      <w:pPr>
        <w:jc w:val="center"/>
        <w:rPr>
          <w:rFonts w:hint="eastAsia" w:asciiTheme="minorEastAsia" w:hAnsiTheme="minorEastAsia" w:eastAsiaTheme="minorEastAsia" w:cstheme="minorEastAsia"/>
          <w:highlight w:val="none"/>
          <w:u w:val="single"/>
        </w:rPr>
      </w:pPr>
    </w:p>
    <w:p w14:paraId="70B3176E">
      <w:pPr>
        <w:jc w:val="center"/>
        <w:rPr>
          <w:rFonts w:hint="eastAsia" w:asciiTheme="minorEastAsia" w:hAnsiTheme="minorEastAsia" w:eastAsiaTheme="minorEastAsia" w:cstheme="minorEastAsia"/>
          <w:highlight w:val="none"/>
          <w:u w:val="single"/>
        </w:rPr>
      </w:pPr>
    </w:p>
    <w:p w14:paraId="7F3856B0">
      <w:pPr>
        <w:jc w:val="center"/>
        <w:rPr>
          <w:rFonts w:hint="eastAsia" w:asciiTheme="minorEastAsia" w:hAnsiTheme="minorEastAsia" w:eastAsiaTheme="minorEastAsia" w:cstheme="minorEastAsia"/>
          <w:highlight w:val="none"/>
          <w:u w:val="single"/>
        </w:rPr>
      </w:pPr>
    </w:p>
    <w:p w14:paraId="5C94C9D3">
      <w:pPr>
        <w:jc w:val="center"/>
        <w:rPr>
          <w:rFonts w:hint="eastAsia" w:asciiTheme="minorEastAsia" w:hAnsiTheme="minorEastAsia" w:eastAsiaTheme="minorEastAsia" w:cstheme="minorEastAsia"/>
          <w:highlight w:val="none"/>
          <w:u w:val="single"/>
        </w:rPr>
      </w:pPr>
    </w:p>
    <w:p w14:paraId="1619C269">
      <w:pPr>
        <w:jc w:val="center"/>
        <w:rPr>
          <w:rFonts w:hint="eastAsia" w:asciiTheme="minorEastAsia" w:hAnsiTheme="minorEastAsia" w:eastAsiaTheme="minorEastAsia" w:cstheme="minorEastAsia"/>
          <w:highlight w:val="none"/>
          <w:u w:val="single"/>
        </w:rPr>
      </w:pPr>
    </w:p>
    <w:p w14:paraId="3866F572">
      <w:pPr>
        <w:jc w:val="center"/>
        <w:rPr>
          <w:rFonts w:hint="eastAsia" w:asciiTheme="minorEastAsia" w:hAnsiTheme="minorEastAsia" w:eastAsiaTheme="minorEastAsia" w:cstheme="minorEastAsia"/>
          <w:highlight w:val="none"/>
          <w:u w:val="single"/>
        </w:rPr>
      </w:pPr>
    </w:p>
    <w:p w14:paraId="30098572">
      <w:pPr>
        <w:jc w:val="center"/>
        <w:rPr>
          <w:rFonts w:hint="eastAsia" w:asciiTheme="minorEastAsia" w:hAnsiTheme="minorEastAsia" w:eastAsiaTheme="minorEastAsia" w:cstheme="minorEastAsia"/>
          <w:highlight w:val="none"/>
          <w:u w:val="single"/>
        </w:rPr>
      </w:pPr>
    </w:p>
    <w:p w14:paraId="57DAC8E3">
      <w:pPr>
        <w:jc w:val="center"/>
        <w:rPr>
          <w:rFonts w:hint="eastAsia" w:asciiTheme="minorEastAsia" w:hAnsiTheme="minorEastAsia" w:eastAsiaTheme="minorEastAsia" w:cstheme="minorEastAsia"/>
          <w:highlight w:val="none"/>
          <w:u w:val="single"/>
        </w:rPr>
      </w:pPr>
    </w:p>
    <w:p w14:paraId="264B3CC9">
      <w:pPr>
        <w:jc w:val="center"/>
        <w:rPr>
          <w:rFonts w:hint="eastAsia" w:asciiTheme="minorEastAsia" w:hAnsiTheme="minorEastAsia" w:eastAsiaTheme="minorEastAsia" w:cstheme="minorEastAsia"/>
          <w:highlight w:val="none"/>
          <w:u w:val="single"/>
        </w:rPr>
      </w:pPr>
    </w:p>
    <w:p w14:paraId="301F6B65">
      <w:pPr>
        <w:jc w:val="center"/>
        <w:rPr>
          <w:rFonts w:hint="eastAsia" w:asciiTheme="minorEastAsia" w:hAnsiTheme="minorEastAsia" w:eastAsiaTheme="minorEastAsia" w:cstheme="minorEastAsia"/>
          <w:highlight w:val="none"/>
          <w:u w:val="single"/>
        </w:rPr>
      </w:pPr>
    </w:p>
    <w:p w14:paraId="7427D6AA">
      <w:pPr>
        <w:jc w:val="center"/>
        <w:rPr>
          <w:rFonts w:hint="eastAsia" w:asciiTheme="minorEastAsia" w:hAnsiTheme="minorEastAsia" w:eastAsiaTheme="minorEastAsia" w:cstheme="minorEastAsia"/>
          <w:highlight w:val="none"/>
          <w:u w:val="single"/>
        </w:rPr>
      </w:pPr>
    </w:p>
    <w:p w14:paraId="150B7726">
      <w:pPr>
        <w:jc w:val="center"/>
        <w:rPr>
          <w:rFonts w:hint="eastAsia" w:asciiTheme="minorEastAsia" w:hAnsiTheme="minorEastAsia" w:eastAsiaTheme="minorEastAsia" w:cstheme="minorEastAsia"/>
          <w:highlight w:val="none"/>
          <w:u w:val="single"/>
        </w:rPr>
      </w:pPr>
    </w:p>
    <w:p w14:paraId="56C4B91F">
      <w:pPr>
        <w:jc w:val="center"/>
        <w:rPr>
          <w:rFonts w:hint="eastAsia" w:asciiTheme="minorEastAsia" w:hAnsiTheme="minorEastAsia" w:eastAsiaTheme="minorEastAsia" w:cstheme="minorEastAsia"/>
          <w:highlight w:val="none"/>
          <w:u w:val="single"/>
        </w:rPr>
      </w:pPr>
    </w:p>
    <w:p w14:paraId="7060546C">
      <w:pPr>
        <w:jc w:val="center"/>
        <w:rPr>
          <w:rFonts w:hint="eastAsia" w:asciiTheme="minorEastAsia" w:hAnsiTheme="minorEastAsia" w:eastAsiaTheme="minorEastAsia" w:cstheme="minorEastAsia"/>
          <w:highlight w:val="none"/>
          <w:u w:val="single"/>
        </w:rPr>
      </w:pPr>
    </w:p>
    <w:p w14:paraId="524167C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sz w:val="32"/>
          <w:szCs w:val="32"/>
          <w:highlight w:val="none"/>
        </w:rPr>
      </w:pPr>
      <w:bookmarkStart w:id="22" w:name="_Toc256695440"/>
      <w:bookmarkStart w:id="23" w:name="_Toc256691564"/>
    </w:p>
    <w:p w14:paraId="30BA3388">
      <w:pPr>
        <w:keepNext w:val="0"/>
        <w:keepLines w:val="0"/>
        <w:pageBreakBefore w:val="0"/>
        <w:widowControl w:val="0"/>
        <w:kinsoku/>
        <w:wordWrap/>
        <w:overflowPunct/>
        <w:topLinePunct w:val="0"/>
        <w:autoSpaceDE/>
        <w:autoSpaceDN/>
        <w:bidi w:val="0"/>
        <w:adjustRightInd/>
        <w:snapToGrid w:val="0"/>
        <w:spacing w:line="360" w:lineRule="auto"/>
        <w:ind w:firstLine="1606" w:firstLineChars="500"/>
        <w:jc w:val="left"/>
        <w:textAlignment w:val="auto"/>
        <w:rPr>
          <w:rFonts w:hint="eastAsia" w:asciiTheme="minorEastAsia" w:hAnsiTheme="minorEastAsia" w:eastAsiaTheme="minorEastAsia" w:cstheme="minorEastAsia"/>
          <w:b/>
          <w:sz w:val="32"/>
          <w:szCs w:val="32"/>
          <w:highlight w:val="none"/>
          <w:u w:val="single"/>
        </w:rPr>
      </w:pPr>
      <w:r>
        <w:rPr>
          <w:rFonts w:hint="eastAsia" w:asciiTheme="minorEastAsia" w:hAnsiTheme="minorEastAsia" w:eastAsiaTheme="minorEastAsia" w:cstheme="minorEastAsia"/>
          <w:b/>
          <w:sz w:val="32"/>
          <w:szCs w:val="32"/>
          <w:highlight w:val="none"/>
          <w:lang w:val="en-US" w:eastAsia="zh-CN"/>
        </w:rPr>
        <w:t>采购</w:t>
      </w:r>
      <w:r>
        <w:rPr>
          <w:rFonts w:hint="eastAsia" w:asciiTheme="minorEastAsia" w:hAnsiTheme="minorEastAsia" w:eastAsiaTheme="minorEastAsia" w:cstheme="minorEastAsia"/>
          <w:b/>
          <w:sz w:val="32"/>
          <w:szCs w:val="32"/>
          <w:highlight w:val="none"/>
        </w:rPr>
        <w:t>响应人：</w:t>
      </w:r>
      <w:bookmarkEnd w:id="22"/>
      <w:bookmarkEnd w:id="23"/>
      <w:r>
        <w:rPr>
          <w:rFonts w:hint="eastAsia" w:asciiTheme="minorEastAsia" w:hAnsiTheme="minorEastAsia" w:eastAsiaTheme="minorEastAsia" w:cstheme="minorEastAsia"/>
          <w:b/>
          <w:sz w:val="32"/>
          <w:szCs w:val="32"/>
          <w:highlight w:val="none"/>
          <w:u w:val="single"/>
        </w:rPr>
        <w:t xml:space="preserve">             （盖单位章）</w:t>
      </w:r>
    </w:p>
    <w:p w14:paraId="09C899CF">
      <w:pPr>
        <w:keepNext w:val="0"/>
        <w:keepLines w:val="0"/>
        <w:pageBreakBefore w:val="0"/>
        <w:widowControl w:val="0"/>
        <w:kinsoku/>
        <w:wordWrap/>
        <w:overflowPunct/>
        <w:topLinePunct w:val="0"/>
        <w:autoSpaceDE/>
        <w:autoSpaceDN/>
        <w:bidi w:val="0"/>
        <w:adjustRightInd/>
        <w:snapToGrid w:val="0"/>
        <w:spacing w:line="360" w:lineRule="auto"/>
        <w:ind w:firstLine="1606" w:firstLineChars="500"/>
        <w:jc w:val="left"/>
        <w:textAlignment w:val="auto"/>
        <w:rPr>
          <w:rFonts w:hint="eastAsia" w:asciiTheme="minorEastAsia" w:hAnsiTheme="minorEastAsia" w:eastAsiaTheme="minorEastAsia" w:cstheme="minorEastAsia"/>
          <w:b/>
          <w:sz w:val="32"/>
          <w:szCs w:val="32"/>
          <w:highlight w:val="none"/>
          <w:u w:val="single"/>
        </w:rPr>
      </w:pPr>
      <w:r>
        <w:rPr>
          <w:rFonts w:hint="eastAsia" w:asciiTheme="minorEastAsia" w:hAnsiTheme="minorEastAsia" w:eastAsiaTheme="minorEastAsia" w:cstheme="minorEastAsia"/>
          <w:b/>
          <w:sz w:val="32"/>
          <w:szCs w:val="32"/>
          <w:highlight w:val="none"/>
        </w:rPr>
        <w:t>法定代表人</w:t>
      </w:r>
      <w:r>
        <w:rPr>
          <w:rFonts w:hint="eastAsia" w:asciiTheme="minorEastAsia" w:hAnsiTheme="minorEastAsia" w:eastAsiaTheme="minorEastAsia" w:cstheme="minorEastAsia"/>
          <w:b/>
          <w:sz w:val="32"/>
          <w:szCs w:val="32"/>
          <w:highlight w:val="none"/>
          <w:u w:val="single"/>
        </w:rPr>
        <w:t>：              （签字）</w:t>
      </w:r>
    </w:p>
    <w:p w14:paraId="5F7CAB97">
      <w:pPr>
        <w:keepNext w:val="0"/>
        <w:keepLines w:val="0"/>
        <w:pageBreakBefore w:val="0"/>
        <w:widowControl w:val="0"/>
        <w:kinsoku/>
        <w:wordWrap/>
        <w:overflowPunct/>
        <w:topLinePunct w:val="0"/>
        <w:autoSpaceDE/>
        <w:autoSpaceDN/>
        <w:bidi w:val="0"/>
        <w:adjustRightInd/>
        <w:snapToGrid w:val="0"/>
        <w:spacing w:line="360" w:lineRule="auto"/>
        <w:ind w:firstLine="1606" w:firstLineChars="500"/>
        <w:jc w:val="left"/>
        <w:textAlignment w:val="auto"/>
        <w:rPr>
          <w:rFonts w:hint="eastAsia" w:asciiTheme="minorEastAsia" w:hAnsiTheme="minorEastAsia" w:eastAsiaTheme="minorEastAsia" w:cstheme="minorEastAsia"/>
          <w:b/>
          <w:sz w:val="32"/>
          <w:szCs w:val="32"/>
          <w:highlight w:val="none"/>
        </w:rPr>
      </w:pPr>
      <w:bookmarkStart w:id="24" w:name="_Toc256695441"/>
      <w:bookmarkStart w:id="25" w:name="_Toc256691565"/>
      <w:r>
        <w:rPr>
          <w:rFonts w:hint="eastAsia" w:asciiTheme="minorEastAsia" w:hAnsiTheme="minorEastAsia" w:eastAsiaTheme="minorEastAsia" w:cstheme="minorEastAsia"/>
          <w:b/>
          <w:sz w:val="32"/>
          <w:szCs w:val="32"/>
          <w:highlight w:val="none"/>
        </w:rPr>
        <w:t>日</w:t>
      </w:r>
      <w:r>
        <w:rPr>
          <w:rFonts w:hint="eastAsia" w:asciiTheme="minorEastAsia" w:hAnsiTheme="minorEastAsia" w:eastAsiaTheme="minorEastAsia" w:cstheme="minorEastAsia"/>
          <w:b/>
          <w:sz w:val="32"/>
          <w:szCs w:val="32"/>
          <w:highlight w:val="none"/>
          <w:lang w:val="en-US" w:eastAsia="zh-CN"/>
        </w:rPr>
        <w:t xml:space="preserve">  </w:t>
      </w:r>
      <w:r>
        <w:rPr>
          <w:rFonts w:hint="eastAsia" w:asciiTheme="minorEastAsia" w:hAnsiTheme="minorEastAsia" w:eastAsiaTheme="minorEastAsia" w:cstheme="minorEastAsia"/>
          <w:b/>
          <w:sz w:val="32"/>
          <w:szCs w:val="32"/>
          <w:highlight w:val="none"/>
        </w:rPr>
        <w:t>期：</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月</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日</w:t>
      </w:r>
      <w:bookmarkEnd w:id="24"/>
      <w:bookmarkEnd w:id="25"/>
    </w:p>
    <w:p w14:paraId="6CFD3A47">
      <w:pPr>
        <w:keepNext w:val="0"/>
        <w:keepLines w:val="0"/>
        <w:pageBreakBefore/>
        <w:widowControl w:val="0"/>
        <w:kinsoku/>
        <w:wordWrap/>
        <w:overflowPunct/>
        <w:topLinePunct w:val="0"/>
        <w:autoSpaceDE/>
        <w:autoSpaceDN/>
        <w:bidi w:val="0"/>
        <w:adjustRightInd/>
        <w:snapToGrid/>
        <w:jc w:val="center"/>
        <w:textAlignment w:val="auto"/>
        <w:rPr>
          <w:rStyle w:val="38"/>
          <w:rFonts w:hint="eastAsia" w:asciiTheme="minorEastAsia" w:hAnsiTheme="minorEastAsia" w:eastAsiaTheme="minorEastAsia" w:cstheme="minorEastAsia"/>
          <w:b w:val="0"/>
          <w:highlight w:val="none"/>
        </w:rPr>
      </w:pPr>
      <w:bookmarkStart w:id="26" w:name="_Toc96584968"/>
      <w:bookmarkStart w:id="27" w:name="_Toc96585094"/>
      <w:r>
        <w:rPr>
          <w:rStyle w:val="38"/>
          <w:rFonts w:hint="eastAsia" w:asciiTheme="minorEastAsia" w:hAnsiTheme="minorEastAsia" w:eastAsiaTheme="minorEastAsia" w:cstheme="minorEastAsia"/>
          <w:b w:val="0"/>
          <w:highlight w:val="none"/>
        </w:rPr>
        <w:t>目录</w:t>
      </w:r>
      <w:bookmarkEnd w:id="26"/>
      <w:bookmarkEnd w:id="27"/>
    </w:p>
    <w:p w14:paraId="1901D670">
      <w:pPr>
        <w:spacing w:line="360" w:lineRule="auto"/>
        <w:rPr>
          <w:rFonts w:hint="eastAsia" w:asciiTheme="minorEastAsia" w:hAnsiTheme="minorEastAsia" w:eastAsiaTheme="minorEastAsia" w:cstheme="minorEastAsia"/>
          <w:sz w:val="28"/>
          <w:szCs w:val="28"/>
          <w:highlight w:val="none"/>
          <w:lang w:val="en-US" w:eastAsia="zh-CN"/>
        </w:rPr>
      </w:pPr>
      <w:bookmarkStart w:id="28" w:name="_Toc256695462"/>
      <w:bookmarkStart w:id="29" w:name="_Toc256691586"/>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rPr>
        <w:t>投标函</w:t>
      </w:r>
      <w:bookmarkEnd w:id="28"/>
      <w:bookmarkEnd w:id="29"/>
    </w:p>
    <w:p w14:paraId="73715D22">
      <w:pPr>
        <w:spacing w:line="360" w:lineRule="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rPr>
        <w:t>报价表</w:t>
      </w:r>
      <w:r>
        <w:rPr>
          <w:rFonts w:hint="eastAsia" w:asciiTheme="minorEastAsia" w:hAnsiTheme="minorEastAsia" w:eastAsiaTheme="minorEastAsia" w:cstheme="minorEastAsia"/>
          <w:sz w:val="28"/>
          <w:szCs w:val="28"/>
          <w:highlight w:val="none"/>
          <w:lang w:val="en-US" w:eastAsia="zh-CN"/>
        </w:rPr>
        <w:tab/>
      </w:r>
    </w:p>
    <w:p w14:paraId="0C6C6562">
      <w:pPr>
        <w:spacing w:line="360" w:lineRule="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w:t>
      </w:r>
      <w:bookmarkEnd w:id="15"/>
      <w:r>
        <w:rPr>
          <w:rFonts w:hint="eastAsia" w:asciiTheme="minorEastAsia" w:hAnsiTheme="minorEastAsia" w:eastAsiaTheme="minorEastAsia" w:cstheme="minorEastAsia"/>
          <w:sz w:val="28"/>
          <w:szCs w:val="28"/>
          <w:highlight w:val="none"/>
        </w:rPr>
        <w:t>响应人廉洁承诺书</w:t>
      </w:r>
    </w:p>
    <w:p w14:paraId="23824725">
      <w:pPr>
        <w:spacing w:line="360" w:lineRule="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rPr>
        <w:t>、无违法记录承诺书</w:t>
      </w:r>
    </w:p>
    <w:p w14:paraId="093E823A">
      <w:pPr>
        <w:keepNext w:val="0"/>
        <w:keepLines w:val="0"/>
        <w:pageBreakBefore/>
        <w:widowControl w:val="0"/>
        <w:kinsoku/>
        <w:wordWrap/>
        <w:overflowPunct/>
        <w:topLinePunct w:val="0"/>
        <w:autoSpaceDE/>
        <w:autoSpaceDN/>
        <w:bidi w:val="0"/>
        <w:adjustRightInd/>
        <w:snapToGrid/>
        <w:spacing w:line="360" w:lineRule="auto"/>
        <w:jc w:val="center"/>
        <w:textAlignment w:val="auto"/>
        <w:rPr>
          <w:rStyle w:val="38"/>
          <w:rFonts w:hint="eastAsia" w:asciiTheme="minorEastAsia" w:hAnsiTheme="minorEastAsia" w:eastAsiaTheme="minorEastAsia" w:cstheme="minorEastAsia"/>
          <w:b/>
          <w:bCs w:val="0"/>
          <w:sz w:val="30"/>
          <w:szCs w:val="30"/>
          <w:highlight w:val="none"/>
          <w:lang w:val="en-US" w:eastAsia="zh-CN"/>
        </w:rPr>
      </w:pPr>
      <w:r>
        <w:rPr>
          <w:rStyle w:val="38"/>
          <w:rFonts w:hint="eastAsia" w:asciiTheme="minorEastAsia" w:hAnsiTheme="minorEastAsia" w:eastAsiaTheme="minorEastAsia" w:cstheme="minorEastAsia"/>
          <w:b/>
          <w:bCs w:val="0"/>
          <w:sz w:val="30"/>
          <w:szCs w:val="30"/>
          <w:highlight w:val="none"/>
          <w:lang w:val="en-US" w:eastAsia="zh-CN"/>
        </w:rPr>
        <w:t>一、投标函</w:t>
      </w:r>
    </w:p>
    <w:bookmarkEnd w:id="16"/>
    <w:bookmarkEnd w:id="17"/>
    <w:p w14:paraId="2AEF7C9C">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en-US"/>
        </w:rPr>
        <w:t>中煤长江地质集团有限公司</w:t>
      </w:r>
      <w:r>
        <w:rPr>
          <w:rFonts w:hint="eastAsia" w:asciiTheme="minorEastAsia" w:hAnsiTheme="minorEastAsia" w:eastAsiaTheme="minorEastAsia" w:cstheme="minorEastAsia"/>
          <w:sz w:val="24"/>
          <w:szCs w:val="24"/>
          <w:highlight w:val="none"/>
        </w:rPr>
        <w:t>：</w:t>
      </w:r>
    </w:p>
    <w:p w14:paraId="5715561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（投标人全称）</w:t>
      </w:r>
      <w:r>
        <w:rPr>
          <w:rFonts w:hint="eastAsia" w:asciiTheme="minorEastAsia" w:hAnsiTheme="minorEastAsia" w:eastAsiaTheme="minorEastAsia" w:cstheme="minorEastAsia"/>
          <w:sz w:val="24"/>
          <w:szCs w:val="24"/>
          <w:highlight w:val="none"/>
        </w:rPr>
        <w:t>授权</w:t>
      </w:r>
      <w:r>
        <w:rPr>
          <w:rFonts w:hint="eastAsia" w:asciiTheme="minorEastAsia" w:hAnsiTheme="minorEastAsia" w:eastAsiaTheme="minorEastAsia" w:cstheme="minorEastAsia"/>
          <w:sz w:val="24"/>
          <w:szCs w:val="24"/>
          <w:highlight w:val="none"/>
          <w:u w:val="single"/>
        </w:rPr>
        <w:t>（全权代表姓名、职务）</w:t>
      </w:r>
      <w:r>
        <w:rPr>
          <w:rFonts w:hint="eastAsia" w:asciiTheme="minorEastAsia" w:hAnsiTheme="minorEastAsia" w:eastAsiaTheme="minorEastAsia" w:cstheme="minorEastAsia"/>
          <w:sz w:val="24"/>
          <w:szCs w:val="24"/>
          <w:highlight w:val="none"/>
        </w:rPr>
        <w:t>为全权代表，参加贵方组织的</w:t>
      </w:r>
      <w:r>
        <w:rPr>
          <w:rFonts w:hint="eastAsia" w:asciiTheme="minorEastAsia" w:hAnsiTheme="minorEastAsia" w:eastAsiaTheme="minorEastAsia" w:cstheme="minorEastAsia"/>
          <w:sz w:val="24"/>
          <w:szCs w:val="24"/>
          <w:highlight w:val="none"/>
          <w:lang w:val="en-US" w:eastAsia="zh-CN"/>
        </w:rPr>
        <w:t xml:space="preserve">采购编号：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的有关活动，为此：</w:t>
      </w:r>
    </w:p>
    <w:p w14:paraId="1B1D24E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1.提供投标人须知规定的全部投标文件（正本[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 xml:space="preserve"> ]份，副本[</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]份、电子版[ 1 ]份）。</w:t>
      </w:r>
    </w:p>
    <w:p w14:paraId="7D8B89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2.提供按招标文件要求的</w:t>
      </w:r>
      <w:r>
        <w:rPr>
          <w:rFonts w:hint="eastAsia" w:asciiTheme="minorEastAsia" w:hAnsiTheme="minorEastAsia" w:eastAsiaTheme="minorEastAsia" w:cstheme="minorEastAsia"/>
          <w:sz w:val="24"/>
          <w:szCs w:val="24"/>
          <w:highlight w:val="none"/>
          <w:lang w:val="en-US" w:eastAsia="zh-CN"/>
        </w:rPr>
        <w:t>物资采购</w:t>
      </w:r>
      <w:r>
        <w:rPr>
          <w:rFonts w:hint="eastAsia" w:asciiTheme="minorEastAsia" w:hAnsiTheme="minorEastAsia" w:eastAsiaTheme="minorEastAsia" w:cstheme="minorEastAsia"/>
          <w:sz w:val="24"/>
          <w:szCs w:val="24"/>
          <w:highlight w:val="none"/>
        </w:rPr>
        <w:t>的报价。（详见附件）。</w:t>
      </w:r>
    </w:p>
    <w:p w14:paraId="5FC46F3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3.我方将按招标文件的规定履行全部责任和义务。</w:t>
      </w:r>
    </w:p>
    <w:p w14:paraId="73BD462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4.我方已详细审查全部招标文件，我们完全理解并同意放弃对招标文件提出质疑及/或争议的权利。</w:t>
      </w:r>
    </w:p>
    <w:p w14:paraId="4F79398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5.我方递交投标文件的有效期为自递交投标文件截止日起 </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0 个日历日。</w:t>
      </w:r>
    </w:p>
    <w:p w14:paraId="4E91F34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6.我方愿意向贵方提供任何与该项投标文件有关的数据、情况和技术资料，完全理解贵方不一定接受最低价的投标文件或收到的任何投标文件。</w:t>
      </w:r>
    </w:p>
    <w:p w14:paraId="15289FF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方授权贵方查询或调查我们递交的与本投标文件有关的声明、文件和资料，并同意在贵方的要求下提供相关文件或证书的原件及其他相关书面材料，以及通过我们的开户银行和客户澄清投标文件中有关财务和技术方面的问题。</w:t>
      </w:r>
    </w:p>
    <w:p w14:paraId="7840176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8.我方承诺：招标人在其本国使用我方提供的服务时，不存在任何已知的不合法的情形，也不存在任何已知的与第三方专利权、著作权、商标权或工业设计权相关的任何争议。如果有任何因招标人使用我方提供的</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而提起的侵权指控，我方将依法承担全部责任。</w:t>
      </w:r>
    </w:p>
    <w:p w14:paraId="6D97768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9.我方在本次投标活动中绝无资质挂靠、串标、围标情形，若经贵方查出，立即取消我方投标资格并承担相应的法律责任。</w:t>
      </w:r>
    </w:p>
    <w:p w14:paraId="1B480F5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10.我方未被地市级及以上行政主管部门做出取消投标资格的处罚且该处罚在有效期内的。</w:t>
      </w:r>
    </w:p>
    <w:p w14:paraId="24B9C58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11.我方在以往的招标采购活动中，无重大违法、违规的不良记录；</w:t>
      </w:r>
    </w:p>
    <w:p w14:paraId="7DB08AC7">
      <w:pPr>
        <w:spacing w:line="360" w:lineRule="auto"/>
        <w:ind w:firstLine="480" w:firstLineChars="200"/>
        <w:rPr>
          <w:rFonts w:hint="eastAsia" w:asciiTheme="minorEastAsia" w:hAnsiTheme="minorEastAsia" w:eastAsiaTheme="minorEastAsia" w:cstheme="minorEastAsia"/>
          <w:sz w:val="24"/>
          <w:szCs w:val="24"/>
          <w:highlight w:val="none"/>
        </w:rPr>
      </w:pPr>
    </w:p>
    <w:p w14:paraId="76DD37AF">
      <w:pPr>
        <w:spacing w:line="360"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投标人名称（盖章）：</w:t>
      </w:r>
    </w:p>
    <w:p w14:paraId="4DD919BC">
      <w:pPr>
        <w:spacing w:line="360"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投标人授权代表（签字）：</w:t>
      </w:r>
    </w:p>
    <w:p w14:paraId="3E91F7B6">
      <w:pPr>
        <w:spacing w:line="360" w:lineRule="auto"/>
        <w:ind w:firstLine="480" w:firstLineChars="200"/>
        <w:jc w:val="right"/>
        <w:rPr>
          <w:rFonts w:hint="eastAsia" w:asciiTheme="minorEastAsia" w:hAnsiTheme="minorEastAsia" w:eastAsiaTheme="minorEastAsia" w:cstheme="minorEastAsia"/>
          <w:sz w:val="24"/>
          <w:szCs w:val="24"/>
          <w:highlight w:val="none"/>
        </w:rPr>
        <w:sectPr>
          <w:pgSz w:w="11900" w:h="16838"/>
          <w:pgMar w:top="1457" w:right="1338" w:bottom="1332" w:left="1684" w:header="1026" w:footer="794"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期：</w:t>
      </w:r>
    </w:p>
    <w:p w14:paraId="25504BBE">
      <w:pPr>
        <w:keepNext w:val="0"/>
        <w:keepLines w:val="0"/>
        <w:pageBreakBefore/>
        <w:widowControl w:val="0"/>
        <w:kinsoku/>
        <w:wordWrap/>
        <w:overflowPunct/>
        <w:topLinePunct w:val="0"/>
        <w:autoSpaceDE/>
        <w:autoSpaceDN/>
        <w:bidi w:val="0"/>
        <w:adjustRightInd/>
        <w:snapToGrid/>
        <w:spacing w:line="360" w:lineRule="auto"/>
        <w:jc w:val="center"/>
        <w:textAlignment w:val="auto"/>
        <w:rPr>
          <w:rStyle w:val="38"/>
          <w:rFonts w:hint="eastAsia" w:asciiTheme="minorEastAsia" w:hAnsiTheme="minorEastAsia" w:eastAsiaTheme="minorEastAsia" w:cstheme="minorEastAsia"/>
          <w:b/>
          <w:bCs w:val="0"/>
          <w:sz w:val="30"/>
          <w:szCs w:val="30"/>
          <w:highlight w:val="none"/>
        </w:rPr>
      </w:pPr>
      <w:r>
        <w:rPr>
          <w:rStyle w:val="38"/>
          <w:rFonts w:hint="eastAsia" w:asciiTheme="minorEastAsia" w:hAnsiTheme="minorEastAsia" w:eastAsiaTheme="minorEastAsia" w:cstheme="minorEastAsia"/>
          <w:b/>
          <w:bCs w:val="0"/>
          <w:sz w:val="30"/>
          <w:szCs w:val="30"/>
          <w:highlight w:val="none"/>
          <w:lang w:val="en-US" w:eastAsia="zh-CN"/>
        </w:rPr>
        <w:t>二、</w:t>
      </w:r>
      <w:r>
        <w:rPr>
          <w:rStyle w:val="38"/>
          <w:rFonts w:hint="eastAsia" w:asciiTheme="minorEastAsia" w:hAnsiTheme="minorEastAsia" w:eastAsiaTheme="minorEastAsia" w:cstheme="minorEastAsia"/>
          <w:b/>
          <w:bCs w:val="0"/>
          <w:sz w:val="30"/>
          <w:szCs w:val="30"/>
          <w:highlight w:val="none"/>
        </w:rPr>
        <w:t>报价一览表</w:t>
      </w:r>
    </w:p>
    <w:p w14:paraId="79AF14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pacing w:val="0"/>
          <w:position w:val="0"/>
          <w:sz w:val="24"/>
          <w:szCs w:val="24"/>
          <w:u w:val="single" w:color="auto"/>
        </w:rPr>
      </w:pPr>
      <w:r>
        <w:rPr>
          <w:rFonts w:hint="eastAsia" w:asciiTheme="minorEastAsia" w:hAnsiTheme="minorEastAsia" w:eastAsiaTheme="minorEastAsia" w:cstheme="minorEastAsia"/>
          <w:spacing w:val="0"/>
          <w:position w:val="0"/>
          <w:sz w:val="24"/>
          <w:szCs w:val="24"/>
        </w:rPr>
        <w:t>项目名称:</w:t>
      </w:r>
      <w:r>
        <w:rPr>
          <w:rFonts w:hint="eastAsia" w:asciiTheme="minorEastAsia" w:hAnsiTheme="minorEastAsia" w:eastAsiaTheme="minorEastAsia" w:cstheme="minorEastAsia"/>
          <w:spacing w:val="0"/>
          <w:position w:val="0"/>
          <w:sz w:val="24"/>
          <w:szCs w:val="24"/>
          <w:u w:val="single" w:color="auto"/>
        </w:rPr>
        <w:t xml:space="preserve">                                     </w:t>
      </w:r>
    </w:p>
    <w:p w14:paraId="7AA53E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pacing w:val="0"/>
          <w:position w:val="0"/>
          <w:sz w:val="24"/>
          <w:szCs w:val="24"/>
          <w:u w:val="single" w:color="auto"/>
        </w:rPr>
      </w:pPr>
      <w:r>
        <w:rPr>
          <w:rFonts w:hint="eastAsia" w:asciiTheme="minorEastAsia" w:hAnsiTheme="minorEastAsia" w:eastAsiaTheme="minorEastAsia" w:cstheme="minorEastAsia"/>
          <w:spacing w:val="0"/>
          <w:position w:val="0"/>
          <w:sz w:val="24"/>
          <w:szCs w:val="24"/>
        </w:rPr>
        <w:t>项目编号:</w:t>
      </w:r>
      <w:r>
        <w:rPr>
          <w:rFonts w:hint="eastAsia" w:asciiTheme="minorEastAsia" w:hAnsiTheme="minorEastAsia" w:eastAsiaTheme="minorEastAsia" w:cstheme="minorEastAsia"/>
          <w:spacing w:val="0"/>
          <w:position w:val="0"/>
          <w:sz w:val="24"/>
          <w:szCs w:val="24"/>
          <w:u w:val="single" w:color="auto"/>
        </w:rPr>
        <w:t xml:space="preserve">                                     </w:t>
      </w:r>
    </w:p>
    <w:p w14:paraId="7EA20E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pacing w:val="0"/>
          <w:position w:val="0"/>
          <w:sz w:val="24"/>
          <w:szCs w:val="24"/>
          <w:u w:val="single" w:color="auto"/>
        </w:rPr>
      </w:pPr>
    </w:p>
    <w:tbl>
      <w:tblPr>
        <w:tblStyle w:val="24"/>
        <w:tblW w:w="9358" w:type="dxa"/>
        <w:tblInd w:w="-5" w:type="dxa"/>
        <w:tblLayout w:type="fixed"/>
        <w:tblCellMar>
          <w:top w:w="0" w:type="dxa"/>
          <w:left w:w="108" w:type="dxa"/>
          <w:bottom w:w="0" w:type="dxa"/>
          <w:right w:w="108" w:type="dxa"/>
        </w:tblCellMar>
      </w:tblPr>
      <w:tblGrid>
        <w:gridCol w:w="2189"/>
        <w:gridCol w:w="2525"/>
        <w:gridCol w:w="3053"/>
        <w:gridCol w:w="1591"/>
      </w:tblGrid>
      <w:tr w14:paraId="6A46E98B">
        <w:tblPrEx>
          <w:tblCellMar>
            <w:top w:w="0" w:type="dxa"/>
            <w:left w:w="108" w:type="dxa"/>
            <w:bottom w:w="0" w:type="dxa"/>
            <w:right w:w="108" w:type="dxa"/>
          </w:tblCellMar>
        </w:tblPrEx>
        <w:trPr>
          <w:trHeight w:val="623"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14:paraId="0BFADBFF">
            <w:pPr>
              <w:keepNext/>
              <w:keepLines/>
              <w:spacing w:line="360" w:lineRule="auto"/>
              <w:jc w:val="center"/>
              <w:outlineLvl w:val="2"/>
              <w:rPr>
                <w:rFonts w:ascii="仿宋" w:hAnsi="仿宋" w:eastAsia="仿宋" w:cs="仿宋"/>
                <w:sz w:val="32"/>
                <w:szCs w:val="32"/>
              </w:rPr>
            </w:pPr>
            <w:r>
              <w:rPr>
                <w:rFonts w:hint="eastAsia" w:ascii="仿宋" w:hAnsi="仿宋" w:eastAsia="仿宋" w:cs="仿宋"/>
                <w:sz w:val="32"/>
                <w:szCs w:val="32"/>
              </w:rPr>
              <w:t>投标人名称</w:t>
            </w:r>
          </w:p>
        </w:tc>
        <w:tc>
          <w:tcPr>
            <w:tcW w:w="2525" w:type="dxa"/>
            <w:tcBorders>
              <w:top w:val="single" w:color="auto" w:sz="4" w:space="0"/>
              <w:left w:val="nil"/>
              <w:bottom w:val="single" w:color="auto" w:sz="4" w:space="0"/>
              <w:right w:val="single" w:color="auto" w:sz="4" w:space="0"/>
            </w:tcBorders>
            <w:noWrap w:val="0"/>
            <w:vAlign w:val="center"/>
          </w:tcPr>
          <w:p w14:paraId="288D8320">
            <w:pPr>
              <w:keepNext/>
              <w:keepLines/>
              <w:spacing w:line="360" w:lineRule="auto"/>
              <w:jc w:val="center"/>
              <w:outlineLvl w:val="2"/>
              <w:rPr>
                <w:rFonts w:hint="eastAsia" w:ascii="仿宋" w:hAnsi="仿宋" w:eastAsia="仿宋" w:cs="仿宋"/>
                <w:sz w:val="32"/>
                <w:szCs w:val="32"/>
              </w:rPr>
            </w:pPr>
            <w:r>
              <w:rPr>
                <w:rFonts w:hint="eastAsia" w:ascii="仿宋_GB2312" w:hAnsi="仿宋_GB2312" w:eastAsia="仿宋_GB2312" w:cs="仿宋"/>
                <w:b w:val="0"/>
                <w:bCs/>
                <w:sz w:val="32"/>
                <w:szCs w:val="32"/>
                <w:lang w:val="en-US" w:eastAsia="zh-CN"/>
              </w:rPr>
              <w:t>房产名称</w:t>
            </w:r>
          </w:p>
        </w:tc>
        <w:tc>
          <w:tcPr>
            <w:tcW w:w="3053" w:type="dxa"/>
            <w:tcBorders>
              <w:top w:val="single" w:color="auto" w:sz="4" w:space="0"/>
              <w:left w:val="nil"/>
              <w:bottom w:val="single" w:color="auto" w:sz="4" w:space="0"/>
              <w:right w:val="single" w:color="auto" w:sz="4" w:space="0"/>
            </w:tcBorders>
            <w:noWrap w:val="0"/>
            <w:vAlign w:val="center"/>
          </w:tcPr>
          <w:p w14:paraId="487D9082">
            <w:pPr>
              <w:keepNext/>
              <w:keepLines/>
              <w:spacing w:line="360" w:lineRule="auto"/>
              <w:jc w:val="center"/>
              <w:outlineLvl w:val="2"/>
              <w:rPr>
                <w:rFonts w:ascii="仿宋" w:hAnsi="仿宋" w:eastAsia="仿宋" w:cs="仿宋"/>
                <w:sz w:val="32"/>
                <w:szCs w:val="32"/>
              </w:rPr>
            </w:pPr>
            <w:r>
              <w:rPr>
                <w:rFonts w:hint="eastAsia" w:ascii="仿宋" w:hAnsi="仿宋" w:eastAsia="仿宋" w:cs="仿宋"/>
                <w:sz w:val="32"/>
                <w:szCs w:val="32"/>
              </w:rPr>
              <w:t>投标价（元）</w:t>
            </w:r>
          </w:p>
        </w:tc>
        <w:tc>
          <w:tcPr>
            <w:tcW w:w="1591" w:type="dxa"/>
            <w:tcBorders>
              <w:top w:val="single" w:color="auto" w:sz="4" w:space="0"/>
              <w:left w:val="nil"/>
              <w:bottom w:val="single" w:color="auto" w:sz="4" w:space="0"/>
              <w:right w:val="single" w:color="auto" w:sz="4" w:space="0"/>
            </w:tcBorders>
            <w:noWrap/>
            <w:vAlign w:val="center"/>
          </w:tcPr>
          <w:p w14:paraId="5CE43601">
            <w:pPr>
              <w:keepNext/>
              <w:keepLines/>
              <w:spacing w:line="360" w:lineRule="auto"/>
              <w:jc w:val="center"/>
              <w:outlineLvl w:val="2"/>
              <w:rPr>
                <w:rFonts w:ascii="仿宋" w:hAnsi="仿宋" w:eastAsia="仿宋" w:cs="仿宋"/>
                <w:sz w:val="32"/>
                <w:szCs w:val="32"/>
              </w:rPr>
            </w:pPr>
            <w:r>
              <w:rPr>
                <w:rFonts w:hint="eastAsia" w:ascii="仿宋" w:hAnsi="仿宋" w:eastAsia="仿宋" w:cs="仿宋"/>
                <w:sz w:val="32"/>
                <w:szCs w:val="32"/>
              </w:rPr>
              <w:t>备注</w:t>
            </w:r>
          </w:p>
        </w:tc>
      </w:tr>
      <w:tr w14:paraId="59B57928">
        <w:tblPrEx>
          <w:tblCellMar>
            <w:top w:w="0" w:type="dxa"/>
            <w:left w:w="108" w:type="dxa"/>
            <w:bottom w:w="0" w:type="dxa"/>
            <w:right w:w="108" w:type="dxa"/>
          </w:tblCellMar>
        </w:tblPrEx>
        <w:trPr>
          <w:trHeight w:val="623" w:hRule="atLeast"/>
        </w:trPr>
        <w:tc>
          <w:tcPr>
            <w:tcW w:w="2189" w:type="dxa"/>
            <w:vMerge w:val="restart"/>
            <w:tcBorders>
              <w:top w:val="single" w:color="auto" w:sz="4" w:space="0"/>
              <w:left w:val="single" w:color="auto" w:sz="4" w:space="0"/>
              <w:bottom w:val="single" w:color="auto" w:sz="4" w:space="0"/>
              <w:right w:val="single" w:color="auto" w:sz="4" w:space="0"/>
            </w:tcBorders>
            <w:noWrap w:val="0"/>
            <w:vAlign w:val="center"/>
          </w:tcPr>
          <w:p w14:paraId="33559ACA">
            <w:pPr>
              <w:keepNext/>
              <w:keepLines/>
              <w:spacing w:line="360" w:lineRule="auto"/>
              <w:outlineLvl w:val="2"/>
              <w:rPr>
                <w:rFonts w:ascii="仿宋" w:hAnsi="仿宋" w:eastAsia="仿宋" w:cs="仿宋"/>
                <w:sz w:val="32"/>
                <w:szCs w:val="32"/>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0FB59F6B">
            <w:pPr>
              <w:keepNext/>
              <w:keepLines/>
              <w:spacing w:line="360" w:lineRule="auto"/>
              <w:outlineLvl w:val="2"/>
              <w:rPr>
                <w:rFonts w:ascii="仿宋" w:hAnsi="仿宋" w:eastAsia="仿宋" w:cs="仿宋"/>
                <w:sz w:val="32"/>
                <w:szCs w:val="32"/>
              </w:rPr>
            </w:pPr>
            <w:r>
              <w:rPr>
                <w:rFonts w:ascii="仿宋_GB2312" w:eastAsia="仿宋_GB2312" w:cs="仿宋_GB2312"/>
                <w:color w:val="000000"/>
                <w:spacing w:val="0"/>
                <w:position w:val="0"/>
                <w:sz w:val="31"/>
                <w:szCs w:val="31"/>
                <w:highlight w:val="none"/>
              </w:rPr>
              <w:t>太仓市明月听澜</w:t>
            </w:r>
          </w:p>
        </w:tc>
        <w:tc>
          <w:tcPr>
            <w:tcW w:w="3053" w:type="dxa"/>
            <w:tcBorders>
              <w:top w:val="single" w:color="auto" w:sz="4" w:space="0"/>
              <w:left w:val="single" w:color="auto" w:sz="4" w:space="0"/>
              <w:bottom w:val="single" w:color="auto" w:sz="4" w:space="0"/>
              <w:right w:val="single" w:color="auto" w:sz="4" w:space="0"/>
            </w:tcBorders>
            <w:noWrap w:val="0"/>
            <w:vAlign w:val="center"/>
          </w:tcPr>
          <w:p w14:paraId="7B945FEF">
            <w:pPr>
              <w:keepNext/>
              <w:keepLines/>
              <w:spacing w:line="360" w:lineRule="auto"/>
              <w:outlineLvl w:val="2"/>
              <w:rPr>
                <w:rFonts w:ascii="仿宋" w:hAnsi="仿宋" w:eastAsia="仿宋" w:cs="仿宋"/>
                <w:sz w:val="32"/>
                <w:szCs w:val="32"/>
              </w:rPr>
            </w:pPr>
          </w:p>
        </w:tc>
        <w:tc>
          <w:tcPr>
            <w:tcW w:w="1591" w:type="dxa"/>
            <w:tcBorders>
              <w:top w:val="single" w:color="auto" w:sz="4" w:space="0"/>
              <w:left w:val="single" w:color="auto" w:sz="4" w:space="0"/>
              <w:bottom w:val="single" w:color="auto" w:sz="4" w:space="0"/>
              <w:right w:val="single" w:color="auto" w:sz="4" w:space="0"/>
            </w:tcBorders>
            <w:noWrap/>
            <w:vAlign w:val="bottom"/>
          </w:tcPr>
          <w:p w14:paraId="772E7E91">
            <w:pPr>
              <w:keepNext/>
              <w:keepLines/>
              <w:spacing w:line="360" w:lineRule="auto"/>
              <w:outlineLvl w:val="2"/>
              <w:rPr>
                <w:rFonts w:ascii="仿宋" w:hAnsi="仿宋" w:eastAsia="仿宋" w:cs="仿宋"/>
                <w:sz w:val="32"/>
                <w:szCs w:val="32"/>
              </w:rPr>
            </w:pPr>
            <w:r>
              <w:rPr>
                <w:rFonts w:hint="eastAsia" w:ascii="仿宋" w:hAnsi="仿宋" w:eastAsia="仿宋" w:cs="仿宋"/>
                <w:sz w:val="32"/>
                <w:szCs w:val="32"/>
              </w:rPr>
              <w:t>　</w:t>
            </w:r>
          </w:p>
        </w:tc>
      </w:tr>
      <w:tr w14:paraId="1949E6C8">
        <w:tblPrEx>
          <w:tblCellMar>
            <w:top w:w="0" w:type="dxa"/>
            <w:left w:w="108" w:type="dxa"/>
            <w:bottom w:w="0" w:type="dxa"/>
            <w:right w:w="108" w:type="dxa"/>
          </w:tblCellMar>
        </w:tblPrEx>
        <w:trPr>
          <w:trHeight w:val="613" w:hRule="atLeast"/>
        </w:trPr>
        <w:tc>
          <w:tcPr>
            <w:tcW w:w="2189" w:type="dxa"/>
            <w:vMerge w:val="continue"/>
            <w:tcBorders>
              <w:top w:val="single" w:color="auto" w:sz="4" w:space="0"/>
              <w:left w:val="single" w:color="auto" w:sz="4" w:space="0"/>
              <w:bottom w:val="single" w:color="auto" w:sz="4" w:space="0"/>
              <w:right w:val="single" w:color="auto" w:sz="4" w:space="0"/>
            </w:tcBorders>
            <w:noWrap w:val="0"/>
            <w:vAlign w:val="center"/>
          </w:tcPr>
          <w:p w14:paraId="1AD76780">
            <w:pPr>
              <w:keepNext/>
              <w:keepLines/>
              <w:spacing w:line="360" w:lineRule="auto"/>
              <w:outlineLvl w:val="2"/>
              <w:rPr>
                <w:rFonts w:ascii="仿宋" w:hAnsi="仿宋" w:eastAsia="仿宋" w:cs="仿宋"/>
                <w:sz w:val="32"/>
                <w:szCs w:val="32"/>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682D5AEB">
            <w:pPr>
              <w:keepNext/>
              <w:keepLines/>
              <w:spacing w:line="360" w:lineRule="auto"/>
              <w:outlineLvl w:val="2"/>
              <w:rPr>
                <w:rFonts w:ascii="仿宋" w:hAnsi="仿宋" w:eastAsia="仿宋" w:cs="仿宋"/>
                <w:sz w:val="32"/>
                <w:szCs w:val="32"/>
              </w:rPr>
            </w:pPr>
            <w:r>
              <w:rPr>
                <w:rFonts w:hint="eastAsia" w:ascii="仿宋_GB2312" w:eastAsia="仿宋_GB2312" w:cs="仿宋_GB2312"/>
                <w:color w:val="000000"/>
                <w:spacing w:val="0"/>
                <w:position w:val="0"/>
                <w:sz w:val="31"/>
                <w:szCs w:val="31"/>
                <w:highlight w:val="none"/>
              </w:rPr>
              <w:t>太仓恒大文化旅游城童瑾苑3 栋</w:t>
            </w:r>
          </w:p>
        </w:tc>
        <w:tc>
          <w:tcPr>
            <w:tcW w:w="3053" w:type="dxa"/>
            <w:tcBorders>
              <w:top w:val="single" w:color="auto" w:sz="4" w:space="0"/>
              <w:left w:val="single" w:color="auto" w:sz="4" w:space="0"/>
              <w:bottom w:val="single" w:color="auto" w:sz="4" w:space="0"/>
              <w:right w:val="single" w:color="auto" w:sz="4" w:space="0"/>
            </w:tcBorders>
            <w:noWrap w:val="0"/>
            <w:vAlign w:val="center"/>
          </w:tcPr>
          <w:p w14:paraId="7068B09A">
            <w:pPr>
              <w:keepNext/>
              <w:keepLines/>
              <w:spacing w:line="360" w:lineRule="auto"/>
              <w:outlineLvl w:val="2"/>
              <w:rPr>
                <w:rFonts w:ascii="仿宋" w:hAnsi="仿宋" w:eastAsia="仿宋" w:cs="仿宋"/>
                <w:sz w:val="32"/>
                <w:szCs w:val="32"/>
              </w:rPr>
            </w:pPr>
          </w:p>
        </w:tc>
        <w:tc>
          <w:tcPr>
            <w:tcW w:w="1591" w:type="dxa"/>
            <w:tcBorders>
              <w:top w:val="single" w:color="auto" w:sz="4" w:space="0"/>
              <w:left w:val="single" w:color="auto" w:sz="4" w:space="0"/>
              <w:bottom w:val="single" w:color="auto" w:sz="4" w:space="0"/>
              <w:right w:val="single" w:color="auto" w:sz="4" w:space="0"/>
            </w:tcBorders>
            <w:noWrap/>
            <w:vAlign w:val="bottom"/>
          </w:tcPr>
          <w:p w14:paraId="285B0B2F">
            <w:pPr>
              <w:keepNext/>
              <w:keepLines/>
              <w:spacing w:line="360" w:lineRule="auto"/>
              <w:outlineLvl w:val="2"/>
              <w:rPr>
                <w:rFonts w:hint="eastAsia" w:ascii="仿宋" w:hAnsi="仿宋" w:eastAsia="仿宋" w:cs="仿宋"/>
                <w:sz w:val="32"/>
                <w:szCs w:val="32"/>
              </w:rPr>
            </w:pPr>
          </w:p>
        </w:tc>
      </w:tr>
      <w:tr w14:paraId="11043361">
        <w:tblPrEx>
          <w:tblCellMar>
            <w:top w:w="0" w:type="dxa"/>
            <w:left w:w="108" w:type="dxa"/>
            <w:bottom w:w="0" w:type="dxa"/>
            <w:right w:w="108" w:type="dxa"/>
          </w:tblCellMar>
        </w:tblPrEx>
        <w:trPr>
          <w:trHeight w:val="623" w:hRule="atLeast"/>
        </w:trPr>
        <w:tc>
          <w:tcPr>
            <w:tcW w:w="2189" w:type="dxa"/>
            <w:vMerge w:val="continue"/>
            <w:tcBorders>
              <w:top w:val="single" w:color="auto" w:sz="4" w:space="0"/>
              <w:left w:val="single" w:color="auto" w:sz="4" w:space="0"/>
              <w:bottom w:val="single" w:color="auto" w:sz="4" w:space="0"/>
              <w:right w:val="single" w:color="auto" w:sz="4" w:space="0"/>
            </w:tcBorders>
            <w:noWrap w:val="0"/>
            <w:vAlign w:val="center"/>
          </w:tcPr>
          <w:p w14:paraId="0F1F28E8">
            <w:pPr>
              <w:keepNext/>
              <w:keepLines/>
              <w:spacing w:line="360" w:lineRule="auto"/>
              <w:outlineLvl w:val="2"/>
              <w:rPr>
                <w:rFonts w:ascii="仿宋" w:hAnsi="仿宋" w:eastAsia="仿宋" w:cs="仿宋"/>
                <w:sz w:val="32"/>
                <w:szCs w:val="32"/>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0A215EDF">
            <w:pPr>
              <w:keepNext/>
              <w:keepLines/>
              <w:spacing w:line="360" w:lineRule="auto"/>
              <w:outlineLvl w:val="2"/>
              <w:rPr>
                <w:rFonts w:ascii="仿宋" w:hAnsi="仿宋" w:eastAsia="仿宋" w:cs="仿宋"/>
                <w:sz w:val="32"/>
                <w:szCs w:val="32"/>
              </w:rPr>
            </w:pPr>
            <w:r>
              <w:rPr>
                <w:rFonts w:hint="eastAsia" w:ascii="仿宋_GB2312" w:eastAsia="仿宋_GB2312" w:cs="仿宋_GB2312"/>
                <w:color w:val="000000"/>
                <w:spacing w:val="0"/>
                <w:position w:val="0"/>
                <w:sz w:val="31"/>
                <w:szCs w:val="31"/>
                <w:highlight w:val="none"/>
              </w:rPr>
              <w:t>徐州市潘安湖生态小镇御湖天下棠悦14 号楼</w:t>
            </w:r>
          </w:p>
        </w:tc>
        <w:tc>
          <w:tcPr>
            <w:tcW w:w="3053" w:type="dxa"/>
            <w:tcBorders>
              <w:top w:val="single" w:color="auto" w:sz="4" w:space="0"/>
              <w:left w:val="single" w:color="auto" w:sz="4" w:space="0"/>
              <w:bottom w:val="single" w:color="auto" w:sz="4" w:space="0"/>
              <w:right w:val="single" w:color="auto" w:sz="4" w:space="0"/>
            </w:tcBorders>
            <w:noWrap w:val="0"/>
            <w:vAlign w:val="center"/>
          </w:tcPr>
          <w:p w14:paraId="7BA92C06">
            <w:pPr>
              <w:keepNext/>
              <w:keepLines/>
              <w:spacing w:line="360" w:lineRule="auto"/>
              <w:outlineLvl w:val="2"/>
              <w:rPr>
                <w:rFonts w:ascii="仿宋" w:hAnsi="仿宋" w:eastAsia="仿宋" w:cs="仿宋"/>
                <w:sz w:val="32"/>
                <w:szCs w:val="32"/>
              </w:rPr>
            </w:pPr>
          </w:p>
        </w:tc>
        <w:tc>
          <w:tcPr>
            <w:tcW w:w="1591" w:type="dxa"/>
            <w:tcBorders>
              <w:top w:val="single" w:color="auto" w:sz="4" w:space="0"/>
              <w:left w:val="single" w:color="auto" w:sz="4" w:space="0"/>
              <w:bottom w:val="single" w:color="auto" w:sz="4" w:space="0"/>
              <w:right w:val="single" w:color="auto" w:sz="4" w:space="0"/>
            </w:tcBorders>
            <w:noWrap/>
            <w:vAlign w:val="bottom"/>
          </w:tcPr>
          <w:p w14:paraId="5859CEED">
            <w:pPr>
              <w:keepNext/>
              <w:keepLines/>
              <w:spacing w:line="360" w:lineRule="auto"/>
              <w:outlineLvl w:val="2"/>
              <w:rPr>
                <w:rFonts w:hint="eastAsia" w:ascii="仿宋" w:hAnsi="仿宋" w:eastAsia="仿宋" w:cs="仿宋"/>
                <w:sz w:val="32"/>
                <w:szCs w:val="32"/>
              </w:rPr>
            </w:pPr>
          </w:p>
        </w:tc>
      </w:tr>
      <w:tr w14:paraId="00587827">
        <w:tblPrEx>
          <w:tblCellMar>
            <w:top w:w="0" w:type="dxa"/>
            <w:left w:w="108" w:type="dxa"/>
            <w:bottom w:w="0" w:type="dxa"/>
            <w:right w:w="108" w:type="dxa"/>
          </w:tblCellMar>
        </w:tblPrEx>
        <w:trPr>
          <w:trHeight w:val="623"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14:paraId="3C11F95A">
            <w:pPr>
              <w:tabs>
                <w:tab w:val="left" w:pos="907"/>
              </w:tabs>
              <w:jc w:val="center"/>
              <w:rPr>
                <w:rFonts w:ascii="仿宋" w:hAnsi="仿宋" w:eastAsia="仿宋" w:cs="仿宋"/>
                <w:sz w:val="32"/>
                <w:szCs w:val="32"/>
              </w:rPr>
            </w:pPr>
            <w:r>
              <w:rPr>
                <w:rFonts w:hint="eastAsia" w:ascii="仿宋_GB2312" w:hAnsi="仿宋_GB2312" w:eastAsia="仿宋_GB2312" w:cs="仿宋"/>
                <w:b/>
                <w:bCs w:val="0"/>
                <w:sz w:val="32"/>
                <w:szCs w:val="32"/>
                <w:lang w:val="en-US" w:eastAsia="zh-CN"/>
              </w:rPr>
              <w:t>合计</w:t>
            </w:r>
          </w:p>
        </w:tc>
        <w:tc>
          <w:tcPr>
            <w:tcW w:w="7169" w:type="dxa"/>
            <w:gridSpan w:val="3"/>
            <w:tcBorders>
              <w:top w:val="single" w:color="auto" w:sz="4" w:space="0"/>
              <w:left w:val="single" w:color="auto" w:sz="4" w:space="0"/>
              <w:bottom w:val="single" w:color="auto" w:sz="4" w:space="0"/>
              <w:right w:val="single" w:color="auto" w:sz="4" w:space="0"/>
            </w:tcBorders>
            <w:noWrap w:val="0"/>
            <w:vAlign w:val="center"/>
          </w:tcPr>
          <w:p w14:paraId="231798C9">
            <w:pPr>
              <w:tabs>
                <w:tab w:val="left" w:pos="907"/>
              </w:tabs>
              <w:jc w:val="both"/>
              <w:rPr>
                <w:rFonts w:hint="default" w:ascii="仿宋" w:hAnsi="仿宋" w:eastAsia="仿宋" w:cs="仿宋"/>
                <w:sz w:val="32"/>
                <w:szCs w:val="32"/>
                <w:lang w:val="en-US"/>
              </w:rPr>
            </w:pPr>
            <w:r>
              <w:rPr>
                <w:rFonts w:hint="eastAsia" w:ascii="仿宋_GB2312" w:hAnsi="仿宋_GB2312" w:eastAsia="仿宋_GB2312" w:cs="仿宋"/>
                <w:b w:val="0"/>
                <w:bCs/>
                <w:sz w:val="32"/>
                <w:szCs w:val="32"/>
                <w:lang w:val="en-US" w:eastAsia="zh-CN"/>
              </w:rPr>
              <w:t>大写：            （</w:t>
            </w:r>
            <w:r>
              <w:rPr>
                <w:rFonts w:hint="eastAsia" w:ascii="宋体" w:hAnsi="宋体" w:eastAsia="宋体" w:cs="宋体"/>
                <w:b w:val="0"/>
                <w:bCs/>
                <w:sz w:val="32"/>
                <w:szCs w:val="32"/>
                <w:lang w:val="en-US" w:eastAsia="zh-CN"/>
              </w:rPr>
              <w:t>￥</w:t>
            </w:r>
            <w:r>
              <w:rPr>
                <w:rFonts w:hint="eastAsia" w:ascii="宋体" w:hAnsi="宋体" w:cs="宋体"/>
                <w:b w:val="0"/>
                <w:bCs/>
                <w:sz w:val="32"/>
                <w:szCs w:val="32"/>
                <w:lang w:val="en-US" w:eastAsia="zh-CN"/>
              </w:rPr>
              <w:t xml:space="preserve">          </w:t>
            </w:r>
            <w:r>
              <w:rPr>
                <w:rFonts w:hint="eastAsia" w:ascii="仿宋_GB2312" w:hAnsi="仿宋_GB2312" w:eastAsia="仿宋_GB2312" w:cs="仿宋"/>
                <w:b w:val="0"/>
                <w:bCs/>
                <w:sz w:val="32"/>
                <w:szCs w:val="32"/>
                <w:lang w:val="en-US" w:eastAsia="zh-CN"/>
              </w:rPr>
              <w:t>）税率6%</w:t>
            </w:r>
          </w:p>
        </w:tc>
      </w:tr>
    </w:tbl>
    <w:p w14:paraId="174E9B5D">
      <w:pPr>
        <w:keepNext/>
        <w:keepLines/>
        <w:spacing w:line="360" w:lineRule="auto"/>
        <w:outlineLvl w:val="2"/>
        <w:rPr>
          <w:rFonts w:hint="eastAsia" w:ascii="仿宋_GB2312" w:hAnsi="仿宋_GB2312" w:eastAsia="仿宋_GB2312" w:cs="仿宋_GB2312"/>
          <w:sz w:val="21"/>
          <w:szCs w:val="21"/>
        </w:rPr>
      </w:pPr>
    </w:p>
    <w:p w14:paraId="2AF22E45">
      <w:pPr>
        <w:keepNext/>
        <w:keepLines/>
        <w:spacing w:line="360" w:lineRule="auto"/>
        <w:outlineLvl w:val="2"/>
        <w:rPr>
          <w:rFonts w:hint="eastAsia" w:ascii="仿宋" w:hAnsi="仿宋" w:eastAsia="仿宋" w:cs="仿宋"/>
          <w:sz w:val="32"/>
          <w:szCs w:val="32"/>
        </w:rPr>
      </w:pPr>
      <w:r>
        <w:rPr>
          <w:rFonts w:hint="eastAsia" w:ascii="仿宋" w:hAnsi="仿宋" w:eastAsia="仿宋" w:cs="仿宋"/>
          <w:sz w:val="32"/>
          <w:szCs w:val="32"/>
        </w:rPr>
        <w:t>注：此价格包含在工作组在现场期间所有费用。</w:t>
      </w:r>
    </w:p>
    <w:p w14:paraId="56BE6810">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0"/>
        <w:textAlignment w:val="baseline"/>
        <w:rPr>
          <w:rFonts w:hint="eastAsia" w:ascii="宋体" w:hAnsi="宋体" w:eastAsia="宋体" w:cs="宋体"/>
          <w:b w:val="0"/>
          <w:bCs w:val="0"/>
          <w:i w:val="0"/>
          <w:iCs w:val="0"/>
          <w:spacing w:val="0"/>
          <w:position w:val="0"/>
          <w:sz w:val="24"/>
          <w:szCs w:val="24"/>
          <w:lang w:eastAsia="zh-CN"/>
        </w:rPr>
      </w:pPr>
    </w:p>
    <w:p w14:paraId="65700E51">
      <w:pPr>
        <w:pStyle w:val="5"/>
        <w:ind w:left="0" w:leftChars="0" w:firstLine="0" w:firstLineChars="0"/>
        <w:rPr>
          <w:rFonts w:hint="default"/>
          <w:lang w:val="en-US" w:eastAsia="zh-CN"/>
        </w:rPr>
      </w:pPr>
    </w:p>
    <w:p w14:paraId="3DE0E734">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0"/>
        <w:textAlignment w:val="baseline"/>
        <w:rPr>
          <w:rFonts w:hint="eastAsia" w:ascii="宋体" w:hAnsi="宋体" w:eastAsia="宋体" w:cs="宋体"/>
          <w:i/>
          <w:iCs/>
          <w:spacing w:val="0"/>
          <w:position w:val="0"/>
          <w:sz w:val="24"/>
          <w:szCs w:val="24"/>
          <w:lang w:eastAsia="zh-CN"/>
        </w:rPr>
      </w:pPr>
    </w:p>
    <w:p w14:paraId="25A445EE">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jc w:val="left"/>
        <w:textAlignment w:val="baseline"/>
        <w:rPr>
          <w:rFonts w:hint="eastAsia" w:asciiTheme="minorEastAsia" w:hAnsiTheme="minorEastAsia" w:eastAsiaTheme="minorEastAsia" w:cstheme="minorEastAsia"/>
          <w:spacing w:val="0"/>
          <w:position w:val="0"/>
          <w:sz w:val="24"/>
          <w:szCs w:val="24"/>
        </w:rPr>
      </w:pPr>
      <w:r>
        <w:rPr>
          <w:rFonts w:hint="eastAsia" w:asciiTheme="minorEastAsia" w:hAnsiTheme="minorEastAsia" w:eastAsiaTheme="minorEastAsia" w:cstheme="minorEastAsia"/>
          <w:spacing w:val="0"/>
          <w:position w:val="0"/>
          <w:sz w:val="24"/>
          <w:szCs w:val="24"/>
        </w:rPr>
        <w:t>供应商 :</w:t>
      </w:r>
      <w:r>
        <w:rPr>
          <w:rFonts w:hint="eastAsia" w:asciiTheme="minorEastAsia" w:hAnsiTheme="minorEastAsia" w:eastAsiaTheme="minorEastAsia" w:cstheme="minorEastAsia"/>
          <w:spacing w:val="0"/>
          <w:position w:val="0"/>
          <w:sz w:val="24"/>
          <w:szCs w:val="24"/>
          <w:u w:val="single" w:color="auto"/>
        </w:rPr>
        <w:t xml:space="preserve">                         </w:t>
      </w:r>
      <w:r>
        <w:rPr>
          <w:rFonts w:hint="eastAsia" w:asciiTheme="minorEastAsia" w:hAnsiTheme="minorEastAsia" w:eastAsiaTheme="minorEastAsia" w:cstheme="minorEastAsia"/>
          <w:spacing w:val="0"/>
          <w:position w:val="0"/>
          <w:sz w:val="24"/>
          <w:szCs w:val="24"/>
          <w:u w:val="single" w:color="auto"/>
          <w:lang w:val="en-US" w:eastAsia="zh-CN"/>
        </w:rPr>
        <w:t xml:space="preserve">          </w:t>
      </w:r>
      <w:r>
        <w:rPr>
          <w:rFonts w:hint="eastAsia" w:asciiTheme="minorEastAsia" w:hAnsiTheme="minorEastAsia" w:eastAsiaTheme="minorEastAsia" w:cstheme="minorEastAsia"/>
          <w:spacing w:val="0"/>
          <w:position w:val="0"/>
          <w:sz w:val="24"/>
          <w:szCs w:val="24"/>
        </w:rPr>
        <w:t>（单位</w:t>
      </w:r>
      <w:r>
        <w:rPr>
          <w:rFonts w:hint="eastAsia" w:asciiTheme="minorEastAsia" w:hAnsiTheme="minorEastAsia" w:eastAsiaTheme="minorEastAsia" w:cstheme="minorEastAsia"/>
          <w:spacing w:val="0"/>
          <w:position w:val="0"/>
          <w:sz w:val="24"/>
          <w:szCs w:val="24"/>
          <w:lang w:val="en-US" w:eastAsia="zh-CN"/>
        </w:rPr>
        <w:t>公</w:t>
      </w:r>
      <w:r>
        <w:rPr>
          <w:rFonts w:hint="eastAsia" w:asciiTheme="minorEastAsia" w:hAnsiTheme="minorEastAsia" w:eastAsiaTheme="minorEastAsia" w:cstheme="minorEastAsia"/>
          <w:spacing w:val="0"/>
          <w:position w:val="0"/>
          <w:sz w:val="24"/>
          <w:szCs w:val="24"/>
        </w:rPr>
        <w:t>章)</w:t>
      </w:r>
    </w:p>
    <w:p w14:paraId="23D3E869">
      <w:pPr>
        <w:keepNext w:val="0"/>
        <w:keepLines w:val="0"/>
        <w:pageBreakBefore w:val="0"/>
        <w:widowControl/>
        <w:tabs>
          <w:tab w:val="left" w:pos="5040"/>
        </w:tabs>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jc w:val="left"/>
        <w:textAlignment w:val="baseline"/>
        <w:rPr>
          <w:rFonts w:hint="eastAsia" w:asciiTheme="minorEastAsia" w:hAnsiTheme="minorEastAsia" w:eastAsiaTheme="minorEastAsia" w:cstheme="minorEastAsia"/>
          <w:spacing w:val="0"/>
          <w:position w:val="0"/>
          <w:sz w:val="24"/>
          <w:szCs w:val="24"/>
        </w:rPr>
      </w:pPr>
      <w:r>
        <w:rPr>
          <w:rFonts w:hint="eastAsia" w:asciiTheme="minorEastAsia" w:hAnsiTheme="minorEastAsia" w:eastAsiaTheme="minorEastAsia" w:cstheme="minorEastAsia"/>
          <w:spacing w:val="0"/>
          <w:position w:val="0"/>
          <w:sz w:val="24"/>
          <w:szCs w:val="24"/>
        </w:rPr>
        <w:t>法定代表人或委托代理人:</w:t>
      </w:r>
      <w:r>
        <w:rPr>
          <w:rFonts w:hint="eastAsia" w:asciiTheme="minorEastAsia" w:hAnsiTheme="minorEastAsia" w:eastAsiaTheme="minorEastAsia" w:cstheme="minorEastAsia"/>
          <w:spacing w:val="0"/>
          <w:position w:val="0"/>
          <w:sz w:val="24"/>
          <w:szCs w:val="24"/>
          <w:u w:val="single" w:color="auto"/>
        </w:rPr>
        <w:t xml:space="preserve">                  </w:t>
      </w:r>
      <w:r>
        <w:rPr>
          <w:rFonts w:hint="eastAsia" w:asciiTheme="minorEastAsia" w:hAnsiTheme="minorEastAsia" w:eastAsiaTheme="minorEastAsia" w:cstheme="minorEastAsia"/>
          <w:spacing w:val="0"/>
          <w:position w:val="0"/>
          <w:sz w:val="24"/>
          <w:szCs w:val="24"/>
        </w:rPr>
        <w:t xml:space="preserve">（签字或盖章) </w:t>
      </w:r>
    </w:p>
    <w:p w14:paraId="7B3975E5">
      <w:pPr>
        <w:keepNext w:val="0"/>
        <w:keepLines w:val="0"/>
        <w:pageBreakBefore w:val="0"/>
        <w:widowControl/>
        <w:tabs>
          <w:tab w:val="left" w:pos="5040"/>
        </w:tabs>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jc w:val="left"/>
        <w:textAlignment w:val="baseline"/>
        <w:rPr>
          <w:rFonts w:hint="eastAsia" w:asciiTheme="minorEastAsia" w:hAnsiTheme="minorEastAsia" w:eastAsiaTheme="minorEastAsia" w:cstheme="minorEastAsia"/>
          <w:spacing w:val="0"/>
          <w:position w:val="0"/>
          <w:sz w:val="24"/>
          <w:szCs w:val="24"/>
        </w:rPr>
      </w:pPr>
      <w:r>
        <w:rPr>
          <w:rFonts w:hint="eastAsia" w:asciiTheme="minorEastAsia" w:hAnsiTheme="minorEastAsia" w:eastAsiaTheme="minorEastAsia" w:cstheme="minorEastAsia"/>
          <w:spacing w:val="0"/>
          <w:position w:val="0"/>
          <w:sz w:val="24"/>
          <w:szCs w:val="24"/>
          <w:lang w:val="en-US" w:eastAsia="zh-CN"/>
        </w:rPr>
        <w:t>日期：</w:t>
      </w:r>
      <w:r>
        <w:rPr>
          <w:rFonts w:hint="eastAsia" w:asciiTheme="minorEastAsia" w:hAnsiTheme="minorEastAsia" w:eastAsiaTheme="minorEastAsia" w:cstheme="minorEastAsia"/>
          <w:spacing w:val="0"/>
          <w:position w:val="0"/>
          <w:sz w:val="24"/>
          <w:szCs w:val="24"/>
          <w:u w:val="single"/>
          <w:lang w:val="en-US" w:eastAsia="zh-CN"/>
        </w:rPr>
        <w:t xml:space="preserve">        </w:t>
      </w:r>
      <w:r>
        <w:rPr>
          <w:rFonts w:hint="eastAsia" w:asciiTheme="minorEastAsia" w:hAnsiTheme="minorEastAsia" w:eastAsiaTheme="minorEastAsia" w:cstheme="minorEastAsia"/>
          <w:spacing w:val="0"/>
          <w:position w:val="0"/>
          <w:sz w:val="24"/>
          <w:szCs w:val="24"/>
        </w:rPr>
        <w:t>年</w:t>
      </w:r>
      <w:r>
        <w:rPr>
          <w:rFonts w:hint="eastAsia" w:asciiTheme="minorEastAsia" w:hAnsiTheme="minorEastAsia" w:eastAsiaTheme="minorEastAsia" w:cstheme="minorEastAsia"/>
          <w:spacing w:val="0"/>
          <w:position w:val="0"/>
          <w:sz w:val="24"/>
          <w:szCs w:val="24"/>
          <w:u w:val="single" w:color="auto"/>
        </w:rPr>
        <w:t xml:space="preserve">    </w:t>
      </w:r>
      <w:r>
        <w:rPr>
          <w:rFonts w:hint="eastAsia" w:asciiTheme="minorEastAsia" w:hAnsiTheme="minorEastAsia" w:eastAsiaTheme="minorEastAsia" w:cstheme="minorEastAsia"/>
          <w:spacing w:val="0"/>
          <w:position w:val="0"/>
          <w:sz w:val="24"/>
          <w:szCs w:val="24"/>
        </w:rPr>
        <w:t>月</w:t>
      </w:r>
      <w:r>
        <w:rPr>
          <w:rFonts w:hint="eastAsia" w:asciiTheme="minorEastAsia" w:hAnsiTheme="minorEastAsia" w:eastAsiaTheme="minorEastAsia" w:cstheme="minorEastAsia"/>
          <w:spacing w:val="0"/>
          <w:position w:val="0"/>
          <w:sz w:val="24"/>
          <w:szCs w:val="24"/>
          <w:u w:val="single" w:color="auto"/>
        </w:rPr>
        <w:t xml:space="preserve">    </w:t>
      </w:r>
      <w:r>
        <w:rPr>
          <w:rFonts w:hint="eastAsia" w:asciiTheme="minorEastAsia" w:hAnsiTheme="minorEastAsia" w:eastAsiaTheme="minorEastAsia" w:cstheme="minorEastAsia"/>
          <w:spacing w:val="0"/>
          <w:position w:val="0"/>
          <w:sz w:val="24"/>
          <w:szCs w:val="24"/>
        </w:rPr>
        <w:t>日</w:t>
      </w:r>
    </w:p>
    <w:p w14:paraId="28C185FF">
      <w:pPr>
        <w:rPr>
          <w:rFonts w:hint="eastAsia" w:asciiTheme="minorEastAsia" w:hAnsiTheme="minorEastAsia" w:eastAsiaTheme="minorEastAsia" w:cstheme="minorEastAsia"/>
          <w:sz w:val="24"/>
          <w:highlight w:val="none"/>
        </w:rPr>
      </w:pPr>
    </w:p>
    <w:p w14:paraId="65399C1A">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ascii="微软雅黑" w:hAnsi="微软雅黑" w:eastAsia="微软雅黑" w:cs="微软雅黑"/>
          <w:spacing w:val="0"/>
          <w:position w:val="0"/>
          <w:sz w:val="28"/>
          <w:szCs w:val="28"/>
        </w:rPr>
      </w:pPr>
      <w:bookmarkStart w:id="30" w:name="_Toc1604"/>
    </w:p>
    <w:bookmarkEnd w:id="30"/>
    <w:p w14:paraId="7C55C664">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kern w:val="44"/>
          <w:sz w:val="30"/>
          <w:szCs w:val="30"/>
          <w:highlight w:val="none"/>
        </w:rPr>
      </w:pPr>
      <w:r>
        <w:rPr>
          <w:rFonts w:hint="eastAsia" w:asciiTheme="minorEastAsia" w:hAnsiTheme="minorEastAsia" w:eastAsiaTheme="minorEastAsia" w:cstheme="minorEastAsia"/>
          <w:b/>
          <w:bCs w:val="0"/>
          <w:color w:val="000000"/>
          <w:kern w:val="44"/>
          <w:sz w:val="30"/>
          <w:szCs w:val="30"/>
          <w:highlight w:val="none"/>
          <w:lang w:val="en-US" w:eastAsia="zh-CN"/>
        </w:rPr>
        <w:t>三</w:t>
      </w:r>
      <w:r>
        <w:rPr>
          <w:rFonts w:hint="eastAsia" w:asciiTheme="minorEastAsia" w:hAnsiTheme="minorEastAsia" w:eastAsiaTheme="minorEastAsia" w:cstheme="minorEastAsia"/>
          <w:b/>
          <w:bCs w:val="0"/>
          <w:color w:val="000000"/>
          <w:kern w:val="44"/>
          <w:sz w:val="30"/>
          <w:szCs w:val="30"/>
          <w:highlight w:val="none"/>
        </w:rPr>
        <w:t>、响应人廉洁承诺书</w:t>
      </w:r>
    </w:p>
    <w:p w14:paraId="62CB7796">
      <w:pPr>
        <w:spacing w:line="510" w:lineRule="exact"/>
        <w:rPr>
          <w:rFonts w:hint="eastAsia" w:asciiTheme="minorEastAsia" w:hAnsiTheme="minorEastAsia" w:eastAsiaTheme="minorEastAsia" w:cstheme="minorEastAsia"/>
          <w:sz w:val="24"/>
          <w:szCs w:val="24"/>
          <w:highlight w:val="none"/>
        </w:rPr>
      </w:pPr>
      <w:bookmarkStart w:id="31" w:name="OLE_LINK13"/>
      <w:r>
        <w:rPr>
          <w:rFonts w:hint="eastAsia" w:asciiTheme="minorEastAsia" w:hAnsiTheme="minorEastAsia" w:eastAsiaTheme="minorEastAsia" w:cstheme="minorEastAsia"/>
          <w:color w:val="auto"/>
          <w:sz w:val="24"/>
          <w:szCs w:val="24"/>
          <w:highlight w:val="none"/>
          <w:lang w:val="en-US" w:eastAsia="en-US"/>
        </w:rPr>
        <w:t>中煤长江地质集团有限公司</w:t>
      </w:r>
      <w:bookmarkEnd w:id="31"/>
      <w:r>
        <w:rPr>
          <w:rFonts w:hint="eastAsia" w:asciiTheme="minorEastAsia" w:hAnsiTheme="minorEastAsia" w:eastAsiaTheme="minorEastAsia" w:cstheme="minorEastAsia"/>
          <w:sz w:val="24"/>
          <w:szCs w:val="24"/>
          <w:highlight w:val="none"/>
        </w:rPr>
        <w:t>：</w:t>
      </w:r>
    </w:p>
    <w:p w14:paraId="6E1EF279">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为维护公平竞争的市场秩序，我方自愿在参与贵方组织招标采购（合作）等商业往来活动中，加强有关人员廉洁从业管理，恪守商业道德，从源头预防和遏制违法、违规、违纪行为发生，特做出以下承诺：</w:t>
      </w:r>
    </w:p>
    <w:p w14:paraId="56329643">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一、严格遵守国家有关法律法规，坚持诚实守信原则，恪守商业道德，规范商务人员廉洁从业行为。</w:t>
      </w:r>
    </w:p>
    <w:p w14:paraId="5BB5E233">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二、决不伙同他人串标、围标或非法排挤竞争对手，决不在商业活动中提供虚假资料，决不发生损害贵方合法权益等行为，决不从事妨碍正常交易的其他违法行为。</w:t>
      </w:r>
    </w:p>
    <w:p w14:paraId="163DA2AD">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三、决不违规获取贵方保密商业活动涉及的所有相关信息，决不与贵方工作人员(含工作人员的配偶、子女及亲属等，下同) 合谋进行弄虚作假、串通招标等违规活动。</w:t>
      </w:r>
    </w:p>
    <w:p w14:paraId="2B587A58">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四、决不为贵方工作人员赠送或馈赠礼金（现金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、礼品、有价证券、支付凭证、购物卡等，决不为贵方工作人员提供回扣、报销或支付任何应由其个人自负的各种费用、免费提供劳务等，绝不与贵方工作人员从事商业活动相关的物资买卖及中介活动等。</w:t>
      </w:r>
    </w:p>
    <w:p w14:paraId="5D569492">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五、决不为贵方工作人员提供和安排有可能影响公平、公正交易的宴请、健身、度假、旅游、娱乐等活动。</w:t>
      </w:r>
    </w:p>
    <w:p w14:paraId="1A9F4EF9">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六、决不为贵方工作人员投资入股、个人借款或买卖股票、债券等提供方便。</w:t>
      </w:r>
    </w:p>
    <w:p w14:paraId="606D715B">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七、决不为贵方工作人员购买或装修住房、婚丧嫁娶、配偶子女上学或工作安排以及出国出境、旅游等提供方便。</w:t>
      </w:r>
    </w:p>
    <w:p w14:paraId="52FC2F86">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八、决不违反规定为贵方工作人员在我方相关企业挂名兼职、合伙经营、介绍承揽业务等提供方便。</w:t>
      </w:r>
    </w:p>
    <w:p w14:paraId="7C954631">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九、贵方对涉嫌不廉洁的商业行为进行调查时，我方有配合提供证据、作证的义务。</w:t>
      </w:r>
    </w:p>
    <w:p w14:paraId="73FFD678">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十、未经贵方同意，我方不向任何新闻媒体、第三人述及有关贵方工作人员恪守商业道德方面的评价、信息。</w:t>
      </w:r>
    </w:p>
    <w:p w14:paraId="705297F4">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十一、我方承诺未被国家机关列入执行行贿人“黑名单” 或失信被执行人。</w:t>
      </w:r>
    </w:p>
    <w:p w14:paraId="3E73EAB3">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十二、发现贵方工作人员有违反本承诺书行为或行为倾向的，将及时提醒纠正并向贵方纪检监察部门举报，同时积极配合贵方进行调查。</w:t>
      </w:r>
    </w:p>
    <w:p w14:paraId="63045966">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十三、本承诺书构成我方与贵方之间进行的所有商业活动所签订合同的不可分割的一部分，不因相关合同期限届满而终止。</w:t>
      </w:r>
    </w:p>
    <w:p w14:paraId="7056A6F9">
      <w:pPr>
        <w:spacing w:line="510" w:lineRule="exact"/>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自愿接受社会及贵方监督，如有违反本承诺，贵方有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5FF4E55A">
      <w:pPr>
        <w:spacing w:line="480" w:lineRule="auto"/>
        <w:ind w:firstLine="420"/>
        <w:rPr>
          <w:rFonts w:hint="eastAsia" w:asciiTheme="minorEastAsia" w:hAnsiTheme="minorEastAsia" w:eastAsiaTheme="minorEastAsia" w:cstheme="minorEastAsia"/>
          <w:sz w:val="24"/>
          <w:szCs w:val="24"/>
          <w:highlight w:val="none"/>
        </w:rPr>
      </w:pPr>
    </w:p>
    <w:p w14:paraId="3D9A2CFA">
      <w:pPr>
        <w:spacing w:line="48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承诺方：（盖章）</w:t>
      </w:r>
    </w:p>
    <w:p w14:paraId="5D021116">
      <w:pPr>
        <w:spacing w:line="48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法定代表：（签字）</w:t>
      </w:r>
    </w:p>
    <w:p w14:paraId="6F32E852">
      <w:pPr>
        <w:spacing w:line="48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注册地址：</w:t>
      </w:r>
    </w:p>
    <w:p w14:paraId="67D8054F">
      <w:pPr>
        <w:spacing w:line="48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单位联系人：</w:t>
      </w:r>
    </w:p>
    <w:p w14:paraId="49422FDA">
      <w:pPr>
        <w:spacing w:line="48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p w14:paraId="59C15B84">
      <w:pPr>
        <w:spacing w:line="360" w:lineRule="auto"/>
        <w:jc w:val="left"/>
        <w:rPr>
          <w:rFonts w:hint="eastAsia" w:asciiTheme="minorEastAsia" w:hAnsiTheme="minorEastAsia" w:eastAsiaTheme="minorEastAsia" w:cstheme="minorEastAsia"/>
          <w:bCs/>
          <w:color w:val="000000"/>
          <w:kern w:val="44"/>
          <w:sz w:val="28"/>
          <w:szCs w:val="28"/>
          <w:highlight w:val="none"/>
        </w:rPr>
      </w:pPr>
      <w:r>
        <w:rPr>
          <w:rFonts w:hint="eastAsia" w:asciiTheme="minorEastAsia" w:hAnsiTheme="minorEastAsia" w:eastAsiaTheme="minorEastAsia" w:cstheme="minorEastAsia"/>
          <w:sz w:val="28"/>
          <w:szCs w:val="28"/>
          <w:highlight w:val="none"/>
        </w:rPr>
        <w:br w:type="page"/>
      </w:r>
    </w:p>
    <w:p w14:paraId="19EEDBF9">
      <w:pPr>
        <w:keepNext w:val="0"/>
        <w:keepLines w:val="0"/>
        <w:pageBreakBefore/>
        <w:widowControl w:val="0"/>
        <w:kinsoku/>
        <w:wordWrap/>
        <w:overflowPunct/>
        <w:topLinePunct w:val="0"/>
        <w:autoSpaceDE/>
        <w:autoSpaceDN/>
        <w:bidi w:val="0"/>
        <w:adjustRightInd/>
        <w:snapToGrid/>
        <w:spacing w:line="360" w:lineRule="auto"/>
        <w:jc w:val="center"/>
        <w:textAlignment w:val="auto"/>
        <w:rPr>
          <w:rStyle w:val="38"/>
          <w:rFonts w:hint="eastAsia" w:asciiTheme="minorEastAsia" w:hAnsiTheme="minorEastAsia" w:eastAsiaTheme="minorEastAsia" w:cstheme="minorEastAsia"/>
          <w:b/>
          <w:bCs w:val="0"/>
          <w:sz w:val="30"/>
          <w:szCs w:val="30"/>
          <w:highlight w:val="none"/>
          <w:lang w:val="en-US"/>
        </w:rPr>
      </w:pPr>
      <w:r>
        <w:rPr>
          <w:rFonts w:hint="eastAsia" w:asciiTheme="minorEastAsia" w:hAnsiTheme="minorEastAsia" w:eastAsiaTheme="minorEastAsia" w:cstheme="minorEastAsia"/>
          <w:b/>
          <w:bCs w:val="0"/>
          <w:color w:val="000000"/>
          <w:kern w:val="44"/>
          <w:sz w:val="30"/>
          <w:szCs w:val="30"/>
          <w:highlight w:val="none"/>
          <w:lang w:val="en-US" w:eastAsia="zh-CN"/>
        </w:rPr>
        <w:t>四</w:t>
      </w:r>
      <w:r>
        <w:rPr>
          <w:rFonts w:hint="eastAsia" w:asciiTheme="minorEastAsia" w:hAnsiTheme="minorEastAsia" w:eastAsiaTheme="minorEastAsia" w:cstheme="minorEastAsia"/>
          <w:b/>
          <w:bCs w:val="0"/>
          <w:color w:val="000000"/>
          <w:kern w:val="44"/>
          <w:sz w:val="30"/>
          <w:szCs w:val="30"/>
          <w:highlight w:val="none"/>
        </w:rPr>
        <w:t>、</w:t>
      </w:r>
      <w:bookmarkStart w:id="32" w:name="OLE_LINK10"/>
      <w:r>
        <w:rPr>
          <w:rStyle w:val="38"/>
          <w:rFonts w:hint="eastAsia" w:asciiTheme="minorEastAsia" w:hAnsiTheme="minorEastAsia" w:eastAsiaTheme="minorEastAsia" w:cstheme="minorEastAsia"/>
          <w:b/>
          <w:bCs w:val="0"/>
          <w:sz w:val="30"/>
          <w:szCs w:val="30"/>
          <w:highlight w:val="none"/>
          <w:lang w:val="en-US"/>
        </w:rPr>
        <w:t>近三年内在经营活动中无违法处罚记录承诺书</w:t>
      </w:r>
    </w:p>
    <w:bookmarkEnd w:id="32"/>
    <w:p w14:paraId="71AF4D9B">
      <w:pPr>
        <w:spacing w:line="360" w:lineRule="auto"/>
        <w:ind w:firstLine="420"/>
        <w:rPr>
          <w:rFonts w:hint="eastAsia" w:asciiTheme="minorEastAsia" w:hAnsiTheme="minorEastAsia" w:eastAsiaTheme="minorEastAsia" w:cstheme="minorEastAsia"/>
          <w:b/>
          <w:bCs/>
          <w:color w:val="000000"/>
          <w:kern w:val="44"/>
          <w:sz w:val="24"/>
          <w:szCs w:val="24"/>
          <w:highlight w:val="none"/>
        </w:rPr>
      </w:pPr>
    </w:p>
    <w:p w14:paraId="4BE32FF4">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w:t>
      </w:r>
      <w:r>
        <w:rPr>
          <w:rFonts w:hint="eastAsia" w:asciiTheme="minorEastAsia" w:hAnsiTheme="minorEastAsia" w:eastAsiaTheme="minorEastAsia" w:cstheme="minorEastAsia"/>
          <w:bCs/>
          <w:sz w:val="24"/>
          <w:szCs w:val="24"/>
          <w:highlight w:val="none"/>
        </w:rPr>
        <w:t>公司</w:t>
      </w:r>
      <w:r>
        <w:rPr>
          <w:rFonts w:hint="eastAsia" w:asciiTheme="minorEastAsia" w:hAnsiTheme="minorEastAsia" w:eastAsiaTheme="minorEastAsia" w:cstheme="minorEastAsia"/>
          <w:bCs/>
          <w:sz w:val="24"/>
          <w:szCs w:val="24"/>
          <w:highlight w:val="none"/>
          <w:lang w:val="en-US" w:eastAsia="zh-CN"/>
        </w:rPr>
        <w:t>近三年内，在经营活动中无违法记录</w:t>
      </w:r>
      <w:r>
        <w:rPr>
          <w:rFonts w:hint="eastAsia" w:asciiTheme="minorEastAsia" w:hAnsiTheme="minorEastAsia" w:eastAsiaTheme="minorEastAsia" w:cstheme="minorEastAsia"/>
          <w:sz w:val="24"/>
          <w:szCs w:val="24"/>
          <w:highlight w:val="none"/>
        </w:rPr>
        <w:t>，特此承诺。</w:t>
      </w:r>
    </w:p>
    <w:p w14:paraId="7B370D5A">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本函自签署之日起生效，如我公司承诺的内容不属实，采购人有权取消我单位的成交资格或解除合同，给贵单位造成实际损失，我公司将承担相应的法律责任。</w:t>
      </w:r>
    </w:p>
    <w:p w14:paraId="66F66EC6">
      <w:pPr>
        <w:pStyle w:val="40"/>
        <w:spacing w:line="480" w:lineRule="auto"/>
        <w:rPr>
          <w:rFonts w:hint="eastAsia" w:asciiTheme="minorEastAsia" w:hAnsiTheme="minorEastAsia" w:eastAsiaTheme="minorEastAsia" w:cstheme="minorEastAsia"/>
          <w:sz w:val="24"/>
          <w:szCs w:val="24"/>
          <w:highlight w:val="none"/>
        </w:rPr>
      </w:pPr>
    </w:p>
    <w:p w14:paraId="66DE0DC0">
      <w:pPr>
        <w:pStyle w:val="40"/>
        <w:spacing w:line="480" w:lineRule="auto"/>
        <w:rPr>
          <w:rFonts w:hint="eastAsia" w:asciiTheme="minorEastAsia" w:hAnsiTheme="minorEastAsia" w:eastAsiaTheme="minorEastAsia" w:cstheme="minorEastAsia"/>
          <w:sz w:val="24"/>
          <w:szCs w:val="24"/>
          <w:highlight w:val="none"/>
        </w:rPr>
      </w:pPr>
    </w:p>
    <w:p w14:paraId="714EFC31">
      <w:pPr>
        <w:pStyle w:val="40"/>
        <w:wordWrap w:val="0"/>
        <w:spacing w:line="480" w:lineRule="auto"/>
        <w:ind w:firstLine="2553" w:firstLineChars="1064"/>
        <w:jc w:val="righ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单位负责人签字：</w:t>
      </w:r>
      <w:r>
        <w:rPr>
          <w:rFonts w:hint="eastAsia" w:asciiTheme="minorEastAsia" w:hAnsiTheme="minorEastAsia" w:eastAsiaTheme="minorEastAsia" w:cstheme="minorEastAsia"/>
          <w:sz w:val="24"/>
          <w:szCs w:val="24"/>
          <w:highlight w:val="none"/>
          <w:lang w:val="en-US" w:eastAsia="zh-CN"/>
        </w:rPr>
        <w:t xml:space="preserve">      </w:t>
      </w:r>
    </w:p>
    <w:p w14:paraId="4DB2BA80">
      <w:pPr>
        <w:pStyle w:val="40"/>
        <w:wordWrap w:val="0"/>
        <w:spacing w:line="480" w:lineRule="auto"/>
        <w:ind w:firstLine="4708" w:firstLineChars="1962"/>
        <w:jc w:val="righ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公司盖章：</w:t>
      </w:r>
      <w:r>
        <w:rPr>
          <w:rFonts w:hint="eastAsia" w:asciiTheme="minorEastAsia" w:hAnsiTheme="minorEastAsia" w:eastAsiaTheme="minorEastAsia" w:cstheme="minorEastAsia"/>
          <w:sz w:val="24"/>
          <w:szCs w:val="24"/>
          <w:highlight w:val="none"/>
          <w:lang w:val="en-US" w:eastAsia="zh-CN"/>
        </w:rPr>
        <w:t xml:space="preserve">            </w:t>
      </w:r>
    </w:p>
    <w:p w14:paraId="19C2048D">
      <w:pPr>
        <w:pStyle w:val="40"/>
        <w:wordWrap w:val="0"/>
        <w:ind w:firstLine="2553" w:firstLineChars="1064"/>
        <w:jc w:val="cente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32"/>
          <w:szCs w:val="32"/>
          <w:highlight w:val="none"/>
          <w:lang w:val="en-US" w:eastAsia="zh-CN"/>
        </w:rPr>
        <w:t xml:space="preserve">     </w:t>
      </w:r>
    </w:p>
    <w:p w14:paraId="32AAFC7B">
      <w:pPr>
        <w:pStyle w:val="20"/>
        <w:jc w:val="right"/>
        <w:rPr>
          <w:rFonts w:hint="eastAsia" w:asciiTheme="minorEastAsia" w:hAnsiTheme="minorEastAsia" w:eastAsiaTheme="minorEastAsia" w:cstheme="minorEastAsia"/>
          <w:b/>
          <w:bCs/>
          <w:color w:val="000000"/>
          <w:kern w:val="44"/>
          <w:sz w:val="32"/>
          <w:szCs w:val="32"/>
          <w:highlight w:val="none"/>
        </w:rPr>
      </w:pPr>
    </w:p>
    <w:p w14:paraId="0B7B07E8">
      <w:pPr>
        <w:rPr>
          <w:rFonts w:hint="eastAsia" w:asciiTheme="minorEastAsia" w:hAnsiTheme="minorEastAsia" w:eastAsiaTheme="minorEastAsia" w:cstheme="minorEastAsia"/>
          <w:b/>
          <w:bCs/>
          <w:color w:val="000000"/>
          <w:kern w:val="44"/>
          <w:sz w:val="32"/>
          <w:szCs w:val="32"/>
          <w:highlight w:val="none"/>
        </w:rPr>
      </w:pPr>
    </w:p>
    <w:p w14:paraId="5B2901F3">
      <w:pPr>
        <w:pStyle w:val="20"/>
        <w:rPr>
          <w:rFonts w:hint="eastAsia" w:asciiTheme="minorEastAsia" w:hAnsiTheme="minorEastAsia" w:eastAsiaTheme="minorEastAsia" w:cstheme="minorEastAsia"/>
          <w:b/>
          <w:bCs/>
          <w:color w:val="000000"/>
          <w:kern w:val="44"/>
          <w:sz w:val="32"/>
          <w:szCs w:val="32"/>
          <w:highlight w:val="none"/>
        </w:rPr>
      </w:pPr>
    </w:p>
    <w:p w14:paraId="06B5E81B">
      <w:pPr>
        <w:rPr>
          <w:rFonts w:hint="eastAsia" w:asciiTheme="minorEastAsia" w:hAnsiTheme="minorEastAsia" w:eastAsiaTheme="minorEastAsia" w:cstheme="minorEastAsia"/>
          <w:b/>
          <w:bCs/>
          <w:color w:val="000000"/>
          <w:kern w:val="44"/>
          <w:sz w:val="32"/>
          <w:szCs w:val="32"/>
          <w:highlight w:val="none"/>
        </w:rPr>
      </w:pPr>
    </w:p>
    <w:p w14:paraId="7C44633E">
      <w:pPr>
        <w:pStyle w:val="20"/>
        <w:rPr>
          <w:rFonts w:hint="eastAsia" w:asciiTheme="minorEastAsia" w:hAnsiTheme="minorEastAsia" w:eastAsiaTheme="minorEastAsia" w:cstheme="minorEastAsia"/>
          <w:b/>
          <w:bCs/>
          <w:color w:val="000000"/>
          <w:kern w:val="44"/>
          <w:sz w:val="32"/>
          <w:szCs w:val="32"/>
          <w:highlight w:val="none"/>
        </w:rPr>
      </w:pPr>
    </w:p>
    <w:p w14:paraId="286D1755">
      <w:pPr>
        <w:rPr>
          <w:rFonts w:hint="eastAsia" w:asciiTheme="minorEastAsia" w:hAnsiTheme="minorEastAsia" w:eastAsiaTheme="minorEastAsia" w:cstheme="minorEastAsia"/>
          <w:b/>
          <w:bCs/>
          <w:color w:val="000000"/>
          <w:kern w:val="44"/>
          <w:sz w:val="32"/>
          <w:szCs w:val="32"/>
          <w:highlight w:val="none"/>
        </w:rPr>
      </w:pPr>
    </w:p>
    <w:p w14:paraId="1A77C53D">
      <w:pPr>
        <w:pStyle w:val="20"/>
        <w:rPr>
          <w:rFonts w:hint="eastAsia" w:asciiTheme="minorEastAsia" w:hAnsiTheme="minorEastAsia" w:eastAsiaTheme="minorEastAsia" w:cstheme="minorEastAsia"/>
          <w:b/>
          <w:bCs/>
          <w:color w:val="000000"/>
          <w:kern w:val="44"/>
          <w:sz w:val="32"/>
          <w:szCs w:val="32"/>
          <w:highlight w:val="none"/>
        </w:rPr>
      </w:pPr>
    </w:p>
    <w:p w14:paraId="64B9C485">
      <w:pPr>
        <w:rPr>
          <w:rFonts w:hint="eastAsia" w:asciiTheme="minorEastAsia" w:hAnsiTheme="minorEastAsia" w:eastAsiaTheme="minorEastAsia" w:cstheme="minorEastAsia"/>
          <w:b/>
          <w:bCs/>
          <w:color w:val="000000"/>
          <w:kern w:val="44"/>
          <w:sz w:val="32"/>
          <w:szCs w:val="32"/>
          <w:highlight w:val="none"/>
        </w:rPr>
      </w:pPr>
    </w:p>
    <w:p w14:paraId="18AE2705">
      <w:pPr>
        <w:rPr>
          <w:rFonts w:hint="default" w:asciiTheme="minorEastAsia" w:hAnsiTheme="minorEastAsia" w:eastAsiaTheme="minorEastAsia" w:cstheme="minorEastAsia"/>
          <w:sz w:val="30"/>
          <w:szCs w:val="30"/>
          <w:highlight w:val="none"/>
          <w:lang w:val="en-US" w:eastAsia="zh-CN"/>
        </w:rPr>
      </w:pPr>
    </w:p>
    <w:p w14:paraId="1C6DBF47">
      <w:pPr>
        <w:rPr>
          <w:rFonts w:hint="default" w:asciiTheme="minorEastAsia" w:hAnsiTheme="minorEastAsia" w:eastAsiaTheme="minorEastAsia" w:cstheme="minorEastAsia"/>
          <w:sz w:val="30"/>
          <w:szCs w:val="30"/>
          <w:highlight w:val="none"/>
          <w:lang w:val="en-US" w:eastAsia="zh-CN"/>
        </w:rPr>
      </w:pPr>
    </w:p>
    <w:p w14:paraId="7B54C88F">
      <w:pPr>
        <w:rPr>
          <w:rFonts w:hint="default" w:asciiTheme="minorEastAsia" w:hAnsiTheme="minorEastAsia" w:eastAsiaTheme="minorEastAsia" w:cstheme="minorEastAsia"/>
          <w:sz w:val="30"/>
          <w:szCs w:val="30"/>
          <w:highlight w:val="none"/>
          <w:lang w:val="en-US" w:eastAsia="zh-CN"/>
        </w:rPr>
      </w:pPr>
    </w:p>
    <w:p w14:paraId="5AB562B6">
      <w:pPr>
        <w:rPr>
          <w:rFonts w:hint="default" w:asciiTheme="minorEastAsia" w:hAnsiTheme="minorEastAsia" w:eastAsiaTheme="minorEastAsia" w:cstheme="minorEastAsia"/>
          <w:sz w:val="30"/>
          <w:szCs w:val="30"/>
          <w:highlight w:val="none"/>
          <w:lang w:val="en-US" w:eastAsia="zh-CN"/>
        </w:rPr>
      </w:pPr>
    </w:p>
    <w:p w14:paraId="12A9967B">
      <w:pPr>
        <w:rPr>
          <w:rFonts w:hint="default" w:asciiTheme="minorEastAsia" w:hAnsiTheme="minorEastAsia" w:eastAsiaTheme="minorEastAsia" w:cstheme="minorEastAsia"/>
          <w:sz w:val="30"/>
          <w:szCs w:val="30"/>
          <w:highlight w:val="none"/>
          <w:lang w:val="en-US" w:eastAsia="zh-CN"/>
        </w:rPr>
      </w:pPr>
    </w:p>
    <w:p w14:paraId="269F5727">
      <w:pPr>
        <w:rPr>
          <w:rFonts w:hint="default" w:asciiTheme="minorEastAsia" w:hAnsiTheme="minorEastAsia" w:eastAsiaTheme="minorEastAsia" w:cstheme="minorEastAsia"/>
          <w:sz w:val="30"/>
          <w:szCs w:val="30"/>
          <w:highlight w:val="none"/>
          <w:lang w:val="en-US" w:eastAsia="zh-CN"/>
        </w:rPr>
      </w:pPr>
    </w:p>
    <w:sectPr>
      <w:pgSz w:w="11900" w:h="16838"/>
      <w:pgMar w:top="1457" w:right="1338" w:bottom="1332" w:left="1684" w:header="1026" w:footer="79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310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D8A0">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C736">
    <w:pPr>
      <w:pStyle w:val="15"/>
      <w:widowControl w:val="0"/>
      <w:pBdr>
        <w:top w:val="none" w:color="auto" w:sz="0" w:space="1"/>
        <w:left w:val="none" w:color="auto" w:sz="0" w:space="4"/>
        <w:bottom w:val="none" w:color="auto" w:sz="0" w:space="1"/>
        <w:right w:val="none" w:color="auto" w:sz="0" w:space="4"/>
        <w:between w:val="none" w:color="auto" w:sz="0" w:space="0"/>
      </w:pBdr>
      <w:tabs>
        <w:tab w:val="left" w:pos="1124"/>
        <w:tab w:val="clear" w:pos="4153"/>
      </w:tabs>
      <w:snapToGrid w:val="0"/>
      <w:jc w:val="left"/>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3C6A"/>
    <w:multiLevelType w:val="singleLevel"/>
    <w:tmpl w:val="8DAC3C6A"/>
    <w:lvl w:ilvl="0" w:tentative="0">
      <w:start w:val="2"/>
      <w:numFmt w:val="chineseCounting"/>
      <w:suff w:val="space"/>
      <w:lvlText w:val="第%1章"/>
      <w:lvlJc w:val="left"/>
      <w:rPr>
        <w:rFonts w:hint="eastAsia"/>
      </w:rPr>
    </w:lvl>
  </w:abstractNum>
  <w:abstractNum w:abstractNumId="1">
    <w:nsid w:val="7DA52D06"/>
    <w:multiLevelType w:val="singleLevel"/>
    <w:tmpl w:val="7DA52D06"/>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19"/>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GU5YTA1M2M2ZWUyM2YzODQzMmMxYTMzMzY3ZmUifQ=="/>
  </w:docVars>
  <w:rsids>
    <w:rsidRoot w:val="3A2B41AB"/>
    <w:rsid w:val="00060B9E"/>
    <w:rsid w:val="001A64C4"/>
    <w:rsid w:val="00364C3A"/>
    <w:rsid w:val="003B643A"/>
    <w:rsid w:val="003F417C"/>
    <w:rsid w:val="00564BF8"/>
    <w:rsid w:val="00655221"/>
    <w:rsid w:val="006B10C7"/>
    <w:rsid w:val="006D42E4"/>
    <w:rsid w:val="00885B23"/>
    <w:rsid w:val="008953F8"/>
    <w:rsid w:val="00A3295D"/>
    <w:rsid w:val="00A4203D"/>
    <w:rsid w:val="00C968A7"/>
    <w:rsid w:val="00D61598"/>
    <w:rsid w:val="00DD1FDD"/>
    <w:rsid w:val="00DD211D"/>
    <w:rsid w:val="00E224D0"/>
    <w:rsid w:val="00E2414D"/>
    <w:rsid w:val="00EB0C6B"/>
    <w:rsid w:val="00F01FC7"/>
    <w:rsid w:val="00FB6A08"/>
    <w:rsid w:val="00FE1942"/>
    <w:rsid w:val="00FE3239"/>
    <w:rsid w:val="01134C49"/>
    <w:rsid w:val="01213882"/>
    <w:rsid w:val="016F26AC"/>
    <w:rsid w:val="01964270"/>
    <w:rsid w:val="01E23011"/>
    <w:rsid w:val="01FC56EC"/>
    <w:rsid w:val="02005B8D"/>
    <w:rsid w:val="020C4532"/>
    <w:rsid w:val="02295517"/>
    <w:rsid w:val="029A7D90"/>
    <w:rsid w:val="029C20E1"/>
    <w:rsid w:val="02D23086"/>
    <w:rsid w:val="02FE20CD"/>
    <w:rsid w:val="0305345B"/>
    <w:rsid w:val="03186EC8"/>
    <w:rsid w:val="031B2C7F"/>
    <w:rsid w:val="03217B69"/>
    <w:rsid w:val="032A2EC2"/>
    <w:rsid w:val="034F0B7A"/>
    <w:rsid w:val="035E0DBD"/>
    <w:rsid w:val="0385459C"/>
    <w:rsid w:val="03C055D4"/>
    <w:rsid w:val="03D804C6"/>
    <w:rsid w:val="047C599F"/>
    <w:rsid w:val="04810BB2"/>
    <w:rsid w:val="04983E5B"/>
    <w:rsid w:val="04A70542"/>
    <w:rsid w:val="04AC7907"/>
    <w:rsid w:val="050339CA"/>
    <w:rsid w:val="05081719"/>
    <w:rsid w:val="05445D91"/>
    <w:rsid w:val="05746676"/>
    <w:rsid w:val="059565ED"/>
    <w:rsid w:val="059705B7"/>
    <w:rsid w:val="059C373C"/>
    <w:rsid w:val="05A131E3"/>
    <w:rsid w:val="05E6498A"/>
    <w:rsid w:val="05ED5229"/>
    <w:rsid w:val="060E0879"/>
    <w:rsid w:val="06604E4C"/>
    <w:rsid w:val="06FB7EA8"/>
    <w:rsid w:val="07342561"/>
    <w:rsid w:val="073E6B20"/>
    <w:rsid w:val="07547683"/>
    <w:rsid w:val="077E37DC"/>
    <w:rsid w:val="077E558A"/>
    <w:rsid w:val="07966D78"/>
    <w:rsid w:val="08163A15"/>
    <w:rsid w:val="0823091E"/>
    <w:rsid w:val="08536A17"/>
    <w:rsid w:val="085D24E6"/>
    <w:rsid w:val="086C1887"/>
    <w:rsid w:val="08836BD0"/>
    <w:rsid w:val="090221EB"/>
    <w:rsid w:val="09150170"/>
    <w:rsid w:val="091C32AD"/>
    <w:rsid w:val="09220670"/>
    <w:rsid w:val="098B0620"/>
    <w:rsid w:val="09AB4631"/>
    <w:rsid w:val="09CD45A7"/>
    <w:rsid w:val="09D43B87"/>
    <w:rsid w:val="09E0252C"/>
    <w:rsid w:val="09F064E7"/>
    <w:rsid w:val="0A7333A0"/>
    <w:rsid w:val="0A8A63CE"/>
    <w:rsid w:val="0A9357F1"/>
    <w:rsid w:val="0AAA073E"/>
    <w:rsid w:val="0ACC0D02"/>
    <w:rsid w:val="0B0E4E77"/>
    <w:rsid w:val="0B21104E"/>
    <w:rsid w:val="0B2D498F"/>
    <w:rsid w:val="0B36617C"/>
    <w:rsid w:val="0B41524D"/>
    <w:rsid w:val="0B472137"/>
    <w:rsid w:val="0B505490"/>
    <w:rsid w:val="0B664CB3"/>
    <w:rsid w:val="0BCD088E"/>
    <w:rsid w:val="0BF91683"/>
    <w:rsid w:val="0C3E79DE"/>
    <w:rsid w:val="0C525237"/>
    <w:rsid w:val="0C5C64A1"/>
    <w:rsid w:val="0C915D60"/>
    <w:rsid w:val="0C963376"/>
    <w:rsid w:val="0C9910B8"/>
    <w:rsid w:val="0CA535B9"/>
    <w:rsid w:val="0CC06645"/>
    <w:rsid w:val="0CC50F35"/>
    <w:rsid w:val="0D221557"/>
    <w:rsid w:val="0D41054D"/>
    <w:rsid w:val="0D5A1951"/>
    <w:rsid w:val="0D815DD4"/>
    <w:rsid w:val="0D865199"/>
    <w:rsid w:val="0DAB3876"/>
    <w:rsid w:val="0DC21F49"/>
    <w:rsid w:val="0DD60901"/>
    <w:rsid w:val="0DD63885"/>
    <w:rsid w:val="0DF2282E"/>
    <w:rsid w:val="0DFB60DA"/>
    <w:rsid w:val="0E042561"/>
    <w:rsid w:val="0E2441A3"/>
    <w:rsid w:val="0E3E477F"/>
    <w:rsid w:val="0E794CFD"/>
    <w:rsid w:val="0E963B01"/>
    <w:rsid w:val="0E9B2EC6"/>
    <w:rsid w:val="0ED3769B"/>
    <w:rsid w:val="0EDD34DE"/>
    <w:rsid w:val="0EE13405"/>
    <w:rsid w:val="0EE4486D"/>
    <w:rsid w:val="0EF6634E"/>
    <w:rsid w:val="0F451083"/>
    <w:rsid w:val="0F64150A"/>
    <w:rsid w:val="0F76748F"/>
    <w:rsid w:val="0FAB0611"/>
    <w:rsid w:val="10030D22"/>
    <w:rsid w:val="10076870"/>
    <w:rsid w:val="1066305F"/>
    <w:rsid w:val="106D43EE"/>
    <w:rsid w:val="10AD127D"/>
    <w:rsid w:val="10DB08E7"/>
    <w:rsid w:val="10DC4AB4"/>
    <w:rsid w:val="11005262"/>
    <w:rsid w:val="11365128"/>
    <w:rsid w:val="1191235E"/>
    <w:rsid w:val="11AE4CBE"/>
    <w:rsid w:val="11CB6ABE"/>
    <w:rsid w:val="11D43AD5"/>
    <w:rsid w:val="120B54B6"/>
    <w:rsid w:val="12160A34"/>
    <w:rsid w:val="12174F59"/>
    <w:rsid w:val="121B7278"/>
    <w:rsid w:val="1232319F"/>
    <w:rsid w:val="12751C80"/>
    <w:rsid w:val="127557DC"/>
    <w:rsid w:val="12877599"/>
    <w:rsid w:val="128B4FFF"/>
    <w:rsid w:val="12F429DD"/>
    <w:rsid w:val="12F86B39"/>
    <w:rsid w:val="133B4A21"/>
    <w:rsid w:val="134C478E"/>
    <w:rsid w:val="138F3597"/>
    <w:rsid w:val="13E9022F"/>
    <w:rsid w:val="14667AD2"/>
    <w:rsid w:val="14863CD0"/>
    <w:rsid w:val="14902DA1"/>
    <w:rsid w:val="14991C55"/>
    <w:rsid w:val="149F2FE4"/>
    <w:rsid w:val="14A01236"/>
    <w:rsid w:val="14B4083D"/>
    <w:rsid w:val="14BF4688"/>
    <w:rsid w:val="14E93FFC"/>
    <w:rsid w:val="14EF5D19"/>
    <w:rsid w:val="15100288"/>
    <w:rsid w:val="152A6D51"/>
    <w:rsid w:val="153100E0"/>
    <w:rsid w:val="153B0F5F"/>
    <w:rsid w:val="1545596A"/>
    <w:rsid w:val="15610299"/>
    <w:rsid w:val="15A24B3A"/>
    <w:rsid w:val="15A5287C"/>
    <w:rsid w:val="15F01D49"/>
    <w:rsid w:val="15F80BFE"/>
    <w:rsid w:val="164976AB"/>
    <w:rsid w:val="168230D4"/>
    <w:rsid w:val="16E82A20"/>
    <w:rsid w:val="16F163E1"/>
    <w:rsid w:val="170B4961"/>
    <w:rsid w:val="171E6442"/>
    <w:rsid w:val="172F064F"/>
    <w:rsid w:val="17326391"/>
    <w:rsid w:val="1752258F"/>
    <w:rsid w:val="177C2B6D"/>
    <w:rsid w:val="180E64B6"/>
    <w:rsid w:val="181A30AD"/>
    <w:rsid w:val="184B770B"/>
    <w:rsid w:val="18512847"/>
    <w:rsid w:val="189317E1"/>
    <w:rsid w:val="18C63235"/>
    <w:rsid w:val="18CC46D0"/>
    <w:rsid w:val="18E13BCB"/>
    <w:rsid w:val="18FE652B"/>
    <w:rsid w:val="190F0738"/>
    <w:rsid w:val="191F64A1"/>
    <w:rsid w:val="19524AC9"/>
    <w:rsid w:val="196640D0"/>
    <w:rsid w:val="199B0AB0"/>
    <w:rsid w:val="19CE23A1"/>
    <w:rsid w:val="1A0A7151"/>
    <w:rsid w:val="1A0E6D73"/>
    <w:rsid w:val="1A475CB0"/>
    <w:rsid w:val="1A495ECC"/>
    <w:rsid w:val="1A8E5739"/>
    <w:rsid w:val="1A9377AB"/>
    <w:rsid w:val="1ABC044C"/>
    <w:rsid w:val="1AD31C39"/>
    <w:rsid w:val="1AD5775F"/>
    <w:rsid w:val="1B040045"/>
    <w:rsid w:val="1B1F6C2C"/>
    <w:rsid w:val="1B3F2E2B"/>
    <w:rsid w:val="1B4346C9"/>
    <w:rsid w:val="1B485BA7"/>
    <w:rsid w:val="1B4B6F43"/>
    <w:rsid w:val="1B6D1746"/>
    <w:rsid w:val="1B8847D2"/>
    <w:rsid w:val="1B927ADF"/>
    <w:rsid w:val="1BD87507"/>
    <w:rsid w:val="1BE45A3C"/>
    <w:rsid w:val="1BEA2D97"/>
    <w:rsid w:val="1C384E11"/>
    <w:rsid w:val="1C610879"/>
    <w:rsid w:val="1C80194D"/>
    <w:rsid w:val="1CA41A68"/>
    <w:rsid w:val="1CBF388A"/>
    <w:rsid w:val="1CC51D2E"/>
    <w:rsid w:val="1CCF762E"/>
    <w:rsid w:val="1CD53A47"/>
    <w:rsid w:val="1CF10155"/>
    <w:rsid w:val="1CF245F9"/>
    <w:rsid w:val="1D293E5E"/>
    <w:rsid w:val="1D586758"/>
    <w:rsid w:val="1D8A4831"/>
    <w:rsid w:val="1D903E12"/>
    <w:rsid w:val="1DAD4007"/>
    <w:rsid w:val="1DBB0E8E"/>
    <w:rsid w:val="1DD97567"/>
    <w:rsid w:val="1DF148B0"/>
    <w:rsid w:val="1E01086B"/>
    <w:rsid w:val="1E9626F5"/>
    <w:rsid w:val="1E984D2C"/>
    <w:rsid w:val="1EC20CC0"/>
    <w:rsid w:val="1EE00481"/>
    <w:rsid w:val="1EE26BE4"/>
    <w:rsid w:val="1F007D9A"/>
    <w:rsid w:val="1F114ADE"/>
    <w:rsid w:val="1F4D3B38"/>
    <w:rsid w:val="1F642E60"/>
    <w:rsid w:val="1F7312F5"/>
    <w:rsid w:val="1F8C2DDE"/>
    <w:rsid w:val="1FB65DB1"/>
    <w:rsid w:val="1FD53D5E"/>
    <w:rsid w:val="1FDD1220"/>
    <w:rsid w:val="1FE346CD"/>
    <w:rsid w:val="1FF57F5C"/>
    <w:rsid w:val="200A1C59"/>
    <w:rsid w:val="204A64FA"/>
    <w:rsid w:val="20547378"/>
    <w:rsid w:val="20AC4ABE"/>
    <w:rsid w:val="20B816B5"/>
    <w:rsid w:val="20BF0C96"/>
    <w:rsid w:val="20F3093F"/>
    <w:rsid w:val="20F32F88"/>
    <w:rsid w:val="2100305C"/>
    <w:rsid w:val="21350F58"/>
    <w:rsid w:val="21366A7E"/>
    <w:rsid w:val="21380A48"/>
    <w:rsid w:val="216830DB"/>
    <w:rsid w:val="21740850"/>
    <w:rsid w:val="219744F3"/>
    <w:rsid w:val="21A41C3A"/>
    <w:rsid w:val="21BD382B"/>
    <w:rsid w:val="21DD6EFA"/>
    <w:rsid w:val="22460F43"/>
    <w:rsid w:val="225E628C"/>
    <w:rsid w:val="226118D9"/>
    <w:rsid w:val="226D64CF"/>
    <w:rsid w:val="229B3A38"/>
    <w:rsid w:val="22C32593"/>
    <w:rsid w:val="22CD6F6E"/>
    <w:rsid w:val="22F64717"/>
    <w:rsid w:val="230961F8"/>
    <w:rsid w:val="23272B22"/>
    <w:rsid w:val="233F1C1A"/>
    <w:rsid w:val="23571659"/>
    <w:rsid w:val="236C71F7"/>
    <w:rsid w:val="2377133A"/>
    <w:rsid w:val="238241FC"/>
    <w:rsid w:val="23A11522"/>
    <w:rsid w:val="23E97DD8"/>
    <w:rsid w:val="241503B1"/>
    <w:rsid w:val="24172B97"/>
    <w:rsid w:val="24227892"/>
    <w:rsid w:val="242B03F0"/>
    <w:rsid w:val="24466FD8"/>
    <w:rsid w:val="247753E3"/>
    <w:rsid w:val="24AF7273"/>
    <w:rsid w:val="24B65F0C"/>
    <w:rsid w:val="24E02FF2"/>
    <w:rsid w:val="251F7F55"/>
    <w:rsid w:val="25421E95"/>
    <w:rsid w:val="257007B0"/>
    <w:rsid w:val="25893620"/>
    <w:rsid w:val="2593624D"/>
    <w:rsid w:val="25987D07"/>
    <w:rsid w:val="259A582D"/>
    <w:rsid w:val="259A75DB"/>
    <w:rsid w:val="25BF5294"/>
    <w:rsid w:val="25CC175F"/>
    <w:rsid w:val="25DC7BF4"/>
    <w:rsid w:val="25FF4167"/>
    <w:rsid w:val="260E3B25"/>
    <w:rsid w:val="261763D7"/>
    <w:rsid w:val="262477ED"/>
    <w:rsid w:val="264B2FCC"/>
    <w:rsid w:val="264D464E"/>
    <w:rsid w:val="26834513"/>
    <w:rsid w:val="26977FBF"/>
    <w:rsid w:val="26BD5C77"/>
    <w:rsid w:val="26D703BB"/>
    <w:rsid w:val="26DB60FD"/>
    <w:rsid w:val="26EB157D"/>
    <w:rsid w:val="26FB054E"/>
    <w:rsid w:val="27135897"/>
    <w:rsid w:val="272F01F7"/>
    <w:rsid w:val="273D46C2"/>
    <w:rsid w:val="274D3709"/>
    <w:rsid w:val="27996DE3"/>
    <w:rsid w:val="27A04C51"/>
    <w:rsid w:val="27C6272E"/>
    <w:rsid w:val="27F60D15"/>
    <w:rsid w:val="280671AA"/>
    <w:rsid w:val="28425C40"/>
    <w:rsid w:val="285E79D4"/>
    <w:rsid w:val="28A32C4B"/>
    <w:rsid w:val="28E868B0"/>
    <w:rsid w:val="28F9286B"/>
    <w:rsid w:val="2927562A"/>
    <w:rsid w:val="29573DDC"/>
    <w:rsid w:val="298F31CF"/>
    <w:rsid w:val="2996455E"/>
    <w:rsid w:val="299F1664"/>
    <w:rsid w:val="29A76888"/>
    <w:rsid w:val="29C42E79"/>
    <w:rsid w:val="29CF181E"/>
    <w:rsid w:val="29D532D8"/>
    <w:rsid w:val="29F15C38"/>
    <w:rsid w:val="29F86FC6"/>
    <w:rsid w:val="2A16744D"/>
    <w:rsid w:val="2A1A518F"/>
    <w:rsid w:val="2A4031A2"/>
    <w:rsid w:val="2A6C52BE"/>
    <w:rsid w:val="2A702F41"/>
    <w:rsid w:val="2A922F77"/>
    <w:rsid w:val="2A9A1E2C"/>
    <w:rsid w:val="2AB949A8"/>
    <w:rsid w:val="2B033E75"/>
    <w:rsid w:val="2BB313F7"/>
    <w:rsid w:val="2BB94533"/>
    <w:rsid w:val="2BC03B14"/>
    <w:rsid w:val="2C043A01"/>
    <w:rsid w:val="2C1D4AC2"/>
    <w:rsid w:val="2C365B84"/>
    <w:rsid w:val="2C626979"/>
    <w:rsid w:val="2C7A0167"/>
    <w:rsid w:val="2CC10A97"/>
    <w:rsid w:val="2CC15D95"/>
    <w:rsid w:val="2D3C71CA"/>
    <w:rsid w:val="2D406CBA"/>
    <w:rsid w:val="2D621327"/>
    <w:rsid w:val="2D652BC5"/>
    <w:rsid w:val="2D7C1CBC"/>
    <w:rsid w:val="2D8B6263"/>
    <w:rsid w:val="2DC12B39"/>
    <w:rsid w:val="2DF45CF7"/>
    <w:rsid w:val="2DFD4BAB"/>
    <w:rsid w:val="2E385BE3"/>
    <w:rsid w:val="2E3A195C"/>
    <w:rsid w:val="2E4B5422"/>
    <w:rsid w:val="2E666F6E"/>
    <w:rsid w:val="2E84707B"/>
    <w:rsid w:val="2EB060C2"/>
    <w:rsid w:val="2EB07E70"/>
    <w:rsid w:val="2ED32E81"/>
    <w:rsid w:val="2F3B4CA2"/>
    <w:rsid w:val="2F514543"/>
    <w:rsid w:val="2F666780"/>
    <w:rsid w:val="2FA01C92"/>
    <w:rsid w:val="2FA10406"/>
    <w:rsid w:val="2FAF45CB"/>
    <w:rsid w:val="2FBF11A9"/>
    <w:rsid w:val="2FCD4A51"/>
    <w:rsid w:val="2FCF2577"/>
    <w:rsid w:val="301B57BD"/>
    <w:rsid w:val="303B5E5F"/>
    <w:rsid w:val="30656A38"/>
    <w:rsid w:val="308B46F0"/>
    <w:rsid w:val="309C68FD"/>
    <w:rsid w:val="30AF2473"/>
    <w:rsid w:val="30F93DC8"/>
    <w:rsid w:val="311C7A3E"/>
    <w:rsid w:val="312E1520"/>
    <w:rsid w:val="31394BC5"/>
    <w:rsid w:val="313E5C07"/>
    <w:rsid w:val="31466869"/>
    <w:rsid w:val="31864EB8"/>
    <w:rsid w:val="31973569"/>
    <w:rsid w:val="319D6E3C"/>
    <w:rsid w:val="31DD6BF6"/>
    <w:rsid w:val="32221084"/>
    <w:rsid w:val="322F72FD"/>
    <w:rsid w:val="323112C7"/>
    <w:rsid w:val="32470AEB"/>
    <w:rsid w:val="3255145A"/>
    <w:rsid w:val="327106AC"/>
    <w:rsid w:val="32A7158A"/>
    <w:rsid w:val="32D90BCF"/>
    <w:rsid w:val="32DF6F75"/>
    <w:rsid w:val="33044C2E"/>
    <w:rsid w:val="33072028"/>
    <w:rsid w:val="33631954"/>
    <w:rsid w:val="33C20973"/>
    <w:rsid w:val="33C70135"/>
    <w:rsid w:val="33ED56C2"/>
    <w:rsid w:val="33F46A50"/>
    <w:rsid w:val="34076784"/>
    <w:rsid w:val="346F60D7"/>
    <w:rsid w:val="348B76CF"/>
    <w:rsid w:val="34A71D15"/>
    <w:rsid w:val="34A832E1"/>
    <w:rsid w:val="34CC3529"/>
    <w:rsid w:val="35162D4E"/>
    <w:rsid w:val="352F5BD4"/>
    <w:rsid w:val="35352670"/>
    <w:rsid w:val="35601EAF"/>
    <w:rsid w:val="357716E7"/>
    <w:rsid w:val="357B4FDA"/>
    <w:rsid w:val="35977693"/>
    <w:rsid w:val="35A6553F"/>
    <w:rsid w:val="35AE2C2F"/>
    <w:rsid w:val="35BD23AE"/>
    <w:rsid w:val="360A4309"/>
    <w:rsid w:val="367E51B7"/>
    <w:rsid w:val="36913CE5"/>
    <w:rsid w:val="36C50230"/>
    <w:rsid w:val="36D668E1"/>
    <w:rsid w:val="37164F30"/>
    <w:rsid w:val="371C0C09"/>
    <w:rsid w:val="371F5B92"/>
    <w:rsid w:val="372E4027"/>
    <w:rsid w:val="37461371"/>
    <w:rsid w:val="374C0952"/>
    <w:rsid w:val="375A12C0"/>
    <w:rsid w:val="378816D4"/>
    <w:rsid w:val="379C3687"/>
    <w:rsid w:val="37A56BB4"/>
    <w:rsid w:val="37D25B5A"/>
    <w:rsid w:val="37E8727C"/>
    <w:rsid w:val="37F30DCD"/>
    <w:rsid w:val="381274A5"/>
    <w:rsid w:val="382D5638"/>
    <w:rsid w:val="3832650D"/>
    <w:rsid w:val="38415FDC"/>
    <w:rsid w:val="384F1FFC"/>
    <w:rsid w:val="385D27EC"/>
    <w:rsid w:val="38D31574"/>
    <w:rsid w:val="38DB3D3B"/>
    <w:rsid w:val="38EF5A38"/>
    <w:rsid w:val="38F1098C"/>
    <w:rsid w:val="392506D5"/>
    <w:rsid w:val="396957EB"/>
    <w:rsid w:val="39981C2C"/>
    <w:rsid w:val="39C173D5"/>
    <w:rsid w:val="39F8091D"/>
    <w:rsid w:val="3A217E73"/>
    <w:rsid w:val="3A2B41AB"/>
    <w:rsid w:val="3A414072"/>
    <w:rsid w:val="3A415711"/>
    <w:rsid w:val="3A4A388A"/>
    <w:rsid w:val="3A5E12C8"/>
    <w:rsid w:val="3A663AD8"/>
    <w:rsid w:val="3AC80697"/>
    <w:rsid w:val="3AE8267C"/>
    <w:rsid w:val="3AE96BE3"/>
    <w:rsid w:val="3AF92B9E"/>
    <w:rsid w:val="3B164BF1"/>
    <w:rsid w:val="3B180EC7"/>
    <w:rsid w:val="3B712735"/>
    <w:rsid w:val="3B934DA1"/>
    <w:rsid w:val="3BAC5E63"/>
    <w:rsid w:val="3BBC4FF3"/>
    <w:rsid w:val="3BBC60A6"/>
    <w:rsid w:val="3BC66F24"/>
    <w:rsid w:val="3C013CBB"/>
    <w:rsid w:val="3C293BF7"/>
    <w:rsid w:val="3C3814A4"/>
    <w:rsid w:val="3C544530"/>
    <w:rsid w:val="3C5B7AFD"/>
    <w:rsid w:val="3C950DB3"/>
    <w:rsid w:val="3CAF1767"/>
    <w:rsid w:val="3CC05722"/>
    <w:rsid w:val="3CC50F8A"/>
    <w:rsid w:val="3CCA034E"/>
    <w:rsid w:val="3D257C7B"/>
    <w:rsid w:val="3DA94408"/>
    <w:rsid w:val="3DE55D84"/>
    <w:rsid w:val="3DEE2762"/>
    <w:rsid w:val="3E082DAE"/>
    <w:rsid w:val="3E4D19A2"/>
    <w:rsid w:val="3E957C2D"/>
    <w:rsid w:val="3EC86B7E"/>
    <w:rsid w:val="3ED43706"/>
    <w:rsid w:val="3F047DE6"/>
    <w:rsid w:val="3F3107F4"/>
    <w:rsid w:val="3F446ADE"/>
    <w:rsid w:val="3F450160"/>
    <w:rsid w:val="3F58108A"/>
    <w:rsid w:val="3FC52F34"/>
    <w:rsid w:val="400B3158"/>
    <w:rsid w:val="401C35B7"/>
    <w:rsid w:val="40752CC7"/>
    <w:rsid w:val="408D6263"/>
    <w:rsid w:val="40A13ABC"/>
    <w:rsid w:val="40A50F69"/>
    <w:rsid w:val="40C8422E"/>
    <w:rsid w:val="40F42D9B"/>
    <w:rsid w:val="41140732"/>
    <w:rsid w:val="41636FC4"/>
    <w:rsid w:val="416978A1"/>
    <w:rsid w:val="4185518C"/>
    <w:rsid w:val="41A2189A"/>
    <w:rsid w:val="41B3026C"/>
    <w:rsid w:val="41B81002"/>
    <w:rsid w:val="4235270E"/>
    <w:rsid w:val="423A703E"/>
    <w:rsid w:val="4255690C"/>
    <w:rsid w:val="425863FC"/>
    <w:rsid w:val="42870A90"/>
    <w:rsid w:val="429513FF"/>
    <w:rsid w:val="42AD499A"/>
    <w:rsid w:val="42C66570"/>
    <w:rsid w:val="433E3844"/>
    <w:rsid w:val="4352109E"/>
    <w:rsid w:val="435C38BA"/>
    <w:rsid w:val="43A044FF"/>
    <w:rsid w:val="43C33D49"/>
    <w:rsid w:val="43F959BD"/>
    <w:rsid w:val="441B20B5"/>
    <w:rsid w:val="44CD4E80"/>
    <w:rsid w:val="44E24DB7"/>
    <w:rsid w:val="454113CA"/>
    <w:rsid w:val="45442C68"/>
    <w:rsid w:val="458C4A96"/>
    <w:rsid w:val="45B04682"/>
    <w:rsid w:val="45BB16B4"/>
    <w:rsid w:val="45F621B4"/>
    <w:rsid w:val="46162856"/>
    <w:rsid w:val="46357180"/>
    <w:rsid w:val="463A459C"/>
    <w:rsid w:val="469519CD"/>
    <w:rsid w:val="46A63BDA"/>
    <w:rsid w:val="46C03669"/>
    <w:rsid w:val="46C978C9"/>
    <w:rsid w:val="46CC06B2"/>
    <w:rsid w:val="46E26BDC"/>
    <w:rsid w:val="47044DA5"/>
    <w:rsid w:val="4719034D"/>
    <w:rsid w:val="471A4427"/>
    <w:rsid w:val="47797541"/>
    <w:rsid w:val="4779790A"/>
    <w:rsid w:val="47AD0F98"/>
    <w:rsid w:val="47B5612D"/>
    <w:rsid w:val="47BE31A6"/>
    <w:rsid w:val="47E50732"/>
    <w:rsid w:val="480C7D3E"/>
    <w:rsid w:val="48290DE9"/>
    <w:rsid w:val="484E4529"/>
    <w:rsid w:val="487B2E45"/>
    <w:rsid w:val="48B14D38"/>
    <w:rsid w:val="48C7608A"/>
    <w:rsid w:val="48CC18F2"/>
    <w:rsid w:val="48D83DF3"/>
    <w:rsid w:val="49262DB0"/>
    <w:rsid w:val="49724248"/>
    <w:rsid w:val="49BE123B"/>
    <w:rsid w:val="4A162E25"/>
    <w:rsid w:val="4A38398C"/>
    <w:rsid w:val="4A4958FB"/>
    <w:rsid w:val="4A6A13C3"/>
    <w:rsid w:val="4A7A27AC"/>
    <w:rsid w:val="4A91694F"/>
    <w:rsid w:val="4AEF7422"/>
    <w:rsid w:val="4B044C48"/>
    <w:rsid w:val="4B0610EB"/>
    <w:rsid w:val="4B652BD0"/>
    <w:rsid w:val="4B7818BD"/>
    <w:rsid w:val="4B95421D"/>
    <w:rsid w:val="4BC02DE6"/>
    <w:rsid w:val="4BE64A79"/>
    <w:rsid w:val="4BEE6D91"/>
    <w:rsid w:val="4C0513A3"/>
    <w:rsid w:val="4C101AF6"/>
    <w:rsid w:val="4C237A7B"/>
    <w:rsid w:val="4C286E40"/>
    <w:rsid w:val="4C583BC9"/>
    <w:rsid w:val="4CC90623"/>
    <w:rsid w:val="4CE27936"/>
    <w:rsid w:val="4CEE0089"/>
    <w:rsid w:val="4CEE27ED"/>
    <w:rsid w:val="4D0D12B8"/>
    <w:rsid w:val="4D4128AF"/>
    <w:rsid w:val="4D8B2E35"/>
    <w:rsid w:val="4D8E53C8"/>
    <w:rsid w:val="4DB2393F"/>
    <w:rsid w:val="4DC42B98"/>
    <w:rsid w:val="4DD252B5"/>
    <w:rsid w:val="4DD92AE7"/>
    <w:rsid w:val="4DDC556B"/>
    <w:rsid w:val="4E241889"/>
    <w:rsid w:val="4E3B72FE"/>
    <w:rsid w:val="4E5B174E"/>
    <w:rsid w:val="4E742810"/>
    <w:rsid w:val="4E797E26"/>
    <w:rsid w:val="4EC72940"/>
    <w:rsid w:val="4ECB24F8"/>
    <w:rsid w:val="4F4331C8"/>
    <w:rsid w:val="4F446D0D"/>
    <w:rsid w:val="4F665C23"/>
    <w:rsid w:val="4F710AFD"/>
    <w:rsid w:val="4FD35314"/>
    <w:rsid w:val="4FE17A31"/>
    <w:rsid w:val="502D711A"/>
    <w:rsid w:val="503C6221"/>
    <w:rsid w:val="50513CD7"/>
    <w:rsid w:val="5055104D"/>
    <w:rsid w:val="505F4DFA"/>
    <w:rsid w:val="50636741"/>
    <w:rsid w:val="50643A90"/>
    <w:rsid w:val="50D55C2F"/>
    <w:rsid w:val="50D70E34"/>
    <w:rsid w:val="50F6750C"/>
    <w:rsid w:val="50FD4672"/>
    <w:rsid w:val="51167BAE"/>
    <w:rsid w:val="513B5867"/>
    <w:rsid w:val="515D57DD"/>
    <w:rsid w:val="51B51D9B"/>
    <w:rsid w:val="51BA49DE"/>
    <w:rsid w:val="51BD44CE"/>
    <w:rsid w:val="51D13AD5"/>
    <w:rsid w:val="51E952C3"/>
    <w:rsid w:val="52285DEB"/>
    <w:rsid w:val="52304CA0"/>
    <w:rsid w:val="52383B54"/>
    <w:rsid w:val="524E5126"/>
    <w:rsid w:val="525F2A86"/>
    <w:rsid w:val="526541C9"/>
    <w:rsid w:val="52A87A96"/>
    <w:rsid w:val="52B15DE1"/>
    <w:rsid w:val="52F31BE5"/>
    <w:rsid w:val="52F611CD"/>
    <w:rsid w:val="53000B16"/>
    <w:rsid w:val="5302488E"/>
    <w:rsid w:val="530D6D8F"/>
    <w:rsid w:val="532145E9"/>
    <w:rsid w:val="53900BB6"/>
    <w:rsid w:val="5394300C"/>
    <w:rsid w:val="53C953AC"/>
    <w:rsid w:val="53E61ABA"/>
    <w:rsid w:val="541D1254"/>
    <w:rsid w:val="54662BFB"/>
    <w:rsid w:val="549E2395"/>
    <w:rsid w:val="54A0435F"/>
    <w:rsid w:val="54A31759"/>
    <w:rsid w:val="54AD082A"/>
    <w:rsid w:val="54C47921"/>
    <w:rsid w:val="54F14BBA"/>
    <w:rsid w:val="552A59D6"/>
    <w:rsid w:val="55322ADD"/>
    <w:rsid w:val="555571D9"/>
    <w:rsid w:val="555C7B5A"/>
    <w:rsid w:val="55894DF3"/>
    <w:rsid w:val="55B300C2"/>
    <w:rsid w:val="55D414D4"/>
    <w:rsid w:val="55FC4663"/>
    <w:rsid w:val="56010E2D"/>
    <w:rsid w:val="56717635"/>
    <w:rsid w:val="569A6B8C"/>
    <w:rsid w:val="56A8574D"/>
    <w:rsid w:val="56AB0D99"/>
    <w:rsid w:val="56AB6FEB"/>
    <w:rsid w:val="56C26B22"/>
    <w:rsid w:val="56C34335"/>
    <w:rsid w:val="57081D47"/>
    <w:rsid w:val="571701DC"/>
    <w:rsid w:val="57320DF1"/>
    <w:rsid w:val="57405985"/>
    <w:rsid w:val="5765363E"/>
    <w:rsid w:val="57CA16F3"/>
    <w:rsid w:val="57DD1426"/>
    <w:rsid w:val="57DD31D4"/>
    <w:rsid w:val="57E427B4"/>
    <w:rsid w:val="57E75E01"/>
    <w:rsid w:val="581035A9"/>
    <w:rsid w:val="581059E4"/>
    <w:rsid w:val="583077A8"/>
    <w:rsid w:val="585A4BA4"/>
    <w:rsid w:val="585D4315"/>
    <w:rsid w:val="58AE2DC2"/>
    <w:rsid w:val="58D41C07"/>
    <w:rsid w:val="58F45AD0"/>
    <w:rsid w:val="5900361E"/>
    <w:rsid w:val="59312477"/>
    <w:rsid w:val="5932754F"/>
    <w:rsid w:val="593C03CE"/>
    <w:rsid w:val="5943350B"/>
    <w:rsid w:val="594A4899"/>
    <w:rsid w:val="5982458C"/>
    <w:rsid w:val="598C4EB2"/>
    <w:rsid w:val="59E06FAB"/>
    <w:rsid w:val="59F15728"/>
    <w:rsid w:val="5A024239"/>
    <w:rsid w:val="5A1F69EE"/>
    <w:rsid w:val="5A33532D"/>
    <w:rsid w:val="5A3612C1"/>
    <w:rsid w:val="5A4841E7"/>
    <w:rsid w:val="5A493AAE"/>
    <w:rsid w:val="5A6E2809"/>
    <w:rsid w:val="5A9304C2"/>
    <w:rsid w:val="5A9D6C4B"/>
    <w:rsid w:val="5AC05A74"/>
    <w:rsid w:val="5AC65EE4"/>
    <w:rsid w:val="5ACA54E8"/>
    <w:rsid w:val="5AE76118"/>
    <w:rsid w:val="5B383FDF"/>
    <w:rsid w:val="5B473517"/>
    <w:rsid w:val="5B4A5024"/>
    <w:rsid w:val="5B527A35"/>
    <w:rsid w:val="5B5E287E"/>
    <w:rsid w:val="5B9718EC"/>
    <w:rsid w:val="5B982CBF"/>
    <w:rsid w:val="5BA10673"/>
    <w:rsid w:val="5BC30933"/>
    <w:rsid w:val="5BCB77E7"/>
    <w:rsid w:val="5BD353FE"/>
    <w:rsid w:val="5BD424E2"/>
    <w:rsid w:val="5C07156D"/>
    <w:rsid w:val="5C11169E"/>
    <w:rsid w:val="5C4B1054"/>
    <w:rsid w:val="5C5F065B"/>
    <w:rsid w:val="5C7C5799"/>
    <w:rsid w:val="5C841E70"/>
    <w:rsid w:val="5CA40764"/>
    <w:rsid w:val="5CDC60F0"/>
    <w:rsid w:val="5D0C00B7"/>
    <w:rsid w:val="5D622736"/>
    <w:rsid w:val="5D6B1282"/>
    <w:rsid w:val="5DB96B1E"/>
    <w:rsid w:val="5DCA6628"/>
    <w:rsid w:val="5E192A8C"/>
    <w:rsid w:val="5E443A8E"/>
    <w:rsid w:val="5E7303EE"/>
    <w:rsid w:val="5ECC3FA2"/>
    <w:rsid w:val="5ED370DF"/>
    <w:rsid w:val="5ED65EA9"/>
    <w:rsid w:val="5EE4753E"/>
    <w:rsid w:val="5F0202B7"/>
    <w:rsid w:val="5F0B0627"/>
    <w:rsid w:val="5F1020E1"/>
    <w:rsid w:val="5F337B7D"/>
    <w:rsid w:val="5F351B48"/>
    <w:rsid w:val="5F5F0972"/>
    <w:rsid w:val="5F6E5059"/>
    <w:rsid w:val="5F97010C"/>
    <w:rsid w:val="5FAA42E4"/>
    <w:rsid w:val="5FD96977"/>
    <w:rsid w:val="5FEB66AA"/>
    <w:rsid w:val="600D03CE"/>
    <w:rsid w:val="601E438A"/>
    <w:rsid w:val="603C0DC0"/>
    <w:rsid w:val="607466A0"/>
    <w:rsid w:val="60A241B6"/>
    <w:rsid w:val="60EE0200"/>
    <w:rsid w:val="60F0647A"/>
    <w:rsid w:val="613A3445"/>
    <w:rsid w:val="618172C6"/>
    <w:rsid w:val="61CD250B"/>
    <w:rsid w:val="61D13F5D"/>
    <w:rsid w:val="61D218D0"/>
    <w:rsid w:val="61FB165B"/>
    <w:rsid w:val="62051CA5"/>
    <w:rsid w:val="622E5281"/>
    <w:rsid w:val="626D16E8"/>
    <w:rsid w:val="62724E61"/>
    <w:rsid w:val="62970423"/>
    <w:rsid w:val="63044341"/>
    <w:rsid w:val="632E6FDA"/>
    <w:rsid w:val="63815EC2"/>
    <w:rsid w:val="63A12152"/>
    <w:rsid w:val="63D95197"/>
    <w:rsid w:val="644F7208"/>
    <w:rsid w:val="645C1924"/>
    <w:rsid w:val="64686F03"/>
    <w:rsid w:val="648543C8"/>
    <w:rsid w:val="64A77044"/>
    <w:rsid w:val="64A86918"/>
    <w:rsid w:val="64AA08E2"/>
    <w:rsid w:val="64F44619"/>
    <w:rsid w:val="65072E52"/>
    <w:rsid w:val="651E4E2C"/>
    <w:rsid w:val="652028FE"/>
    <w:rsid w:val="656C403D"/>
    <w:rsid w:val="65713359"/>
    <w:rsid w:val="65BB001D"/>
    <w:rsid w:val="65C43C25"/>
    <w:rsid w:val="65CD0D2C"/>
    <w:rsid w:val="65D200F0"/>
    <w:rsid w:val="65FB27D8"/>
    <w:rsid w:val="66115107"/>
    <w:rsid w:val="662535D6"/>
    <w:rsid w:val="664663E8"/>
    <w:rsid w:val="66775B41"/>
    <w:rsid w:val="668C4743"/>
    <w:rsid w:val="66D47E98"/>
    <w:rsid w:val="670D5158"/>
    <w:rsid w:val="672229B1"/>
    <w:rsid w:val="6726785D"/>
    <w:rsid w:val="67270543"/>
    <w:rsid w:val="67BD26DA"/>
    <w:rsid w:val="681A18DB"/>
    <w:rsid w:val="685C0145"/>
    <w:rsid w:val="688356D2"/>
    <w:rsid w:val="68996CA3"/>
    <w:rsid w:val="68B27D65"/>
    <w:rsid w:val="68E5013A"/>
    <w:rsid w:val="692C7B17"/>
    <w:rsid w:val="69450BD9"/>
    <w:rsid w:val="694A4441"/>
    <w:rsid w:val="69507A51"/>
    <w:rsid w:val="6954706E"/>
    <w:rsid w:val="69A2397C"/>
    <w:rsid w:val="69A753F0"/>
    <w:rsid w:val="69CB5582"/>
    <w:rsid w:val="69DB153D"/>
    <w:rsid w:val="69DF102E"/>
    <w:rsid w:val="6A3837EA"/>
    <w:rsid w:val="6A4B66C3"/>
    <w:rsid w:val="6A5C267E"/>
    <w:rsid w:val="6A6634FD"/>
    <w:rsid w:val="6A892D47"/>
    <w:rsid w:val="6A8E035E"/>
    <w:rsid w:val="6A9261BE"/>
    <w:rsid w:val="6AB853DB"/>
    <w:rsid w:val="6AE2079F"/>
    <w:rsid w:val="6AED777A"/>
    <w:rsid w:val="6AF0035A"/>
    <w:rsid w:val="6B030D4C"/>
    <w:rsid w:val="6B0C3E13"/>
    <w:rsid w:val="6B106FC5"/>
    <w:rsid w:val="6B1A680B"/>
    <w:rsid w:val="6B673F9B"/>
    <w:rsid w:val="6B6C069F"/>
    <w:rsid w:val="6B7C0DDC"/>
    <w:rsid w:val="6B9A16B0"/>
    <w:rsid w:val="6BB41A58"/>
    <w:rsid w:val="6BCC55E2"/>
    <w:rsid w:val="6BCF0C2E"/>
    <w:rsid w:val="6BF40694"/>
    <w:rsid w:val="6BFB7C75"/>
    <w:rsid w:val="6C53360D"/>
    <w:rsid w:val="6CC4450B"/>
    <w:rsid w:val="6CFC5A53"/>
    <w:rsid w:val="6D15564A"/>
    <w:rsid w:val="6D286848"/>
    <w:rsid w:val="6D88324B"/>
    <w:rsid w:val="6D9B170F"/>
    <w:rsid w:val="6DA017B3"/>
    <w:rsid w:val="6DA85BDA"/>
    <w:rsid w:val="6DB122CB"/>
    <w:rsid w:val="6DDD7632"/>
    <w:rsid w:val="6DEF50E9"/>
    <w:rsid w:val="6DF80F7B"/>
    <w:rsid w:val="6E5D0773"/>
    <w:rsid w:val="6E8441F3"/>
    <w:rsid w:val="6EAC4873"/>
    <w:rsid w:val="6EAD34A8"/>
    <w:rsid w:val="6ED46069"/>
    <w:rsid w:val="6EE2446E"/>
    <w:rsid w:val="6F0926A9"/>
    <w:rsid w:val="6F101C89"/>
    <w:rsid w:val="6F4A6F49"/>
    <w:rsid w:val="6F534586"/>
    <w:rsid w:val="6F5C12BC"/>
    <w:rsid w:val="6F5F1A58"/>
    <w:rsid w:val="6F63625D"/>
    <w:rsid w:val="6F9836F2"/>
    <w:rsid w:val="6F9957DB"/>
    <w:rsid w:val="6FC00FB9"/>
    <w:rsid w:val="6FC116B3"/>
    <w:rsid w:val="6FF417EE"/>
    <w:rsid w:val="6FFE7D34"/>
    <w:rsid w:val="70094674"/>
    <w:rsid w:val="70141305"/>
    <w:rsid w:val="7055204A"/>
    <w:rsid w:val="70705EE7"/>
    <w:rsid w:val="707324D0"/>
    <w:rsid w:val="70815B32"/>
    <w:rsid w:val="709E6194"/>
    <w:rsid w:val="70C525FF"/>
    <w:rsid w:val="70D70CB1"/>
    <w:rsid w:val="70E1083F"/>
    <w:rsid w:val="70FF3D63"/>
    <w:rsid w:val="71285068"/>
    <w:rsid w:val="71606ED6"/>
    <w:rsid w:val="71624BD7"/>
    <w:rsid w:val="7169742F"/>
    <w:rsid w:val="71723E90"/>
    <w:rsid w:val="718D75C1"/>
    <w:rsid w:val="71A16BC9"/>
    <w:rsid w:val="71AB10CB"/>
    <w:rsid w:val="71AF5789"/>
    <w:rsid w:val="71E13469"/>
    <w:rsid w:val="721970A7"/>
    <w:rsid w:val="728E539F"/>
    <w:rsid w:val="72C67878"/>
    <w:rsid w:val="73345E93"/>
    <w:rsid w:val="734737A0"/>
    <w:rsid w:val="73615E37"/>
    <w:rsid w:val="737427E7"/>
    <w:rsid w:val="73905147"/>
    <w:rsid w:val="73AF7CC3"/>
    <w:rsid w:val="73C3376E"/>
    <w:rsid w:val="73F8030D"/>
    <w:rsid w:val="742D3468"/>
    <w:rsid w:val="742E1A2F"/>
    <w:rsid w:val="74314213"/>
    <w:rsid w:val="74520C5C"/>
    <w:rsid w:val="74746816"/>
    <w:rsid w:val="74836A59"/>
    <w:rsid w:val="74DD616A"/>
    <w:rsid w:val="74EA0870"/>
    <w:rsid w:val="751029E3"/>
    <w:rsid w:val="755D7991"/>
    <w:rsid w:val="755F74C6"/>
    <w:rsid w:val="75622B13"/>
    <w:rsid w:val="75846316"/>
    <w:rsid w:val="75A86778"/>
    <w:rsid w:val="75AC00B6"/>
    <w:rsid w:val="75AD3D8E"/>
    <w:rsid w:val="75F200AA"/>
    <w:rsid w:val="75F66EDB"/>
    <w:rsid w:val="75F93477"/>
    <w:rsid w:val="761A0264"/>
    <w:rsid w:val="762F6E99"/>
    <w:rsid w:val="763444AF"/>
    <w:rsid w:val="763E0E8A"/>
    <w:rsid w:val="764B35A7"/>
    <w:rsid w:val="76565E30"/>
    <w:rsid w:val="76937428"/>
    <w:rsid w:val="769B2EDE"/>
    <w:rsid w:val="76F3350B"/>
    <w:rsid w:val="76F62135"/>
    <w:rsid w:val="77075720"/>
    <w:rsid w:val="770B3462"/>
    <w:rsid w:val="770D06AF"/>
    <w:rsid w:val="772225B1"/>
    <w:rsid w:val="774309A6"/>
    <w:rsid w:val="77764653"/>
    <w:rsid w:val="77A079A0"/>
    <w:rsid w:val="77C67389"/>
    <w:rsid w:val="77DA1086"/>
    <w:rsid w:val="77F4039A"/>
    <w:rsid w:val="77FF289B"/>
    <w:rsid w:val="7808174F"/>
    <w:rsid w:val="781C51FB"/>
    <w:rsid w:val="782D565A"/>
    <w:rsid w:val="782F4F2E"/>
    <w:rsid w:val="78656BA2"/>
    <w:rsid w:val="78667BBD"/>
    <w:rsid w:val="7877386F"/>
    <w:rsid w:val="78941235"/>
    <w:rsid w:val="78E24696"/>
    <w:rsid w:val="78EF46BD"/>
    <w:rsid w:val="79115321"/>
    <w:rsid w:val="79134850"/>
    <w:rsid w:val="79220866"/>
    <w:rsid w:val="79426EE3"/>
    <w:rsid w:val="79786CD1"/>
    <w:rsid w:val="7997722F"/>
    <w:rsid w:val="79B25139"/>
    <w:rsid w:val="79B853F7"/>
    <w:rsid w:val="79BD47BC"/>
    <w:rsid w:val="79C95D61"/>
    <w:rsid w:val="7A020420"/>
    <w:rsid w:val="7A061A1E"/>
    <w:rsid w:val="7A4B1DC7"/>
    <w:rsid w:val="7A5573A6"/>
    <w:rsid w:val="7A680BCB"/>
    <w:rsid w:val="7A97325F"/>
    <w:rsid w:val="7AA03EC1"/>
    <w:rsid w:val="7AA339B1"/>
    <w:rsid w:val="7B146CCC"/>
    <w:rsid w:val="7B3E36DA"/>
    <w:rsid w:val="7B42141C"/>
    <w:rsid w:val="7B4E3CD7"/>
    <w:rsid w:val="7B5A49B8"/>
    <w:rsid w:val="7B8B5B37"/>
    <w:rsid w:val="7BB06386"/>
    <w:rsid w:val="7BBE11A4"/>
    <w:rsid w:val="7BF65538"/>
    <w:rsid w:val="7C1C7557"/>
    <w:rsid w:val="7C444D20"/>
    <w:rsid w:val="7C7B2BBA"/>
    <w:rsid w:val="7CAD47C1"/>
    <w:rsid w:val="7CB24FCC"/>
    <w:rsid w:val="7CB25103"/>
    <w:rsid w:val="7CDC49DE"/>
    <w:rsid w:val="7D133070"/>
    <w:rsid w:val="7D3134F6"/>
    <w:rsid w:val="7D7E33A1"/>
    <w:rsid w:val="7D9812EF"/>
    <w:rsid w:val="7DBB7264"/>
    <w:rsid w:val="7E15185A"/>
    <w:rsid w:val="7E177AED"/>
    <w:rsid w:val="7E2C00AE"/>
    <w:rsid w:val="7E5C45A3"/>
    <w:rsid w:val="7E5F1447"/>
    <w:rsid w:val="7E941F8F"/>
    <w:rsid w:val="7E9A331D"/>
    <w:rsid w:val="7EA80F3A"/>
    <w:rsid w:val="7EED5B43"/>
    <w:rsid w:val="7EF01253"/>
    <w:rsid w:val="7EF7251E"/>
    <w:rsid w:val="7F0F5AB9"/>
    <w:rsid w:val="7F314A7F"/>
    <w:rsid w:val="7F4219EB"/>
    <w:rsid w:val="7F910C12"/>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qFormat/>
    <w:uiPriority w:val="0"/>
    <w:pPr>
      <w:keepNext/>
      <w:keepLines/>
      <w:ind w:firstLine="2718" w:firstLineChars="846"/>
      <w:outlineLvl w:val="2"/>
    </w:pPr>
    <w:rPr>
      <w:rFonts w:ascii="Cambria" w:hAnsi="Cambria"/>
      <w:b/>
      <w:snapToGrid w:val="0"/>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8">
    <w:name w:val="Body Text"/>
    <w:basedOn w:val="1"/>
    <w:next w:val="9"/>
    <w:qFormat/>
    <w:uiPriority w:val="0"/>
    <w:pPr>
      <w:spacing w:after="120"/>
    </w:pPr>
  </w:style>
  <w:style w:type="paragraph" w:styleId="9">
    <w:name w:val="Body Text 2"/>
    <w:basedOn w:val="1"/>
    <w:qFormat/>
    <w:uiPriority w:val="0"/>
    <w:rPr>
      <w:color w:val="FF0000"/>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pPr>
      <w:adjustRightInd w:val="0"/>
      <w:textAlignment w:val="baseline"/>
    </w:pPr>
    <w:rPr>
      <w:rFonts w:ascii="宋体" w:hAnsi="Courier New"/>
    </w:rPr>
  </w:style>
  <w:style w:type="paragraph" w:styleId="13">
    <w:name w:val="Body Text Indent 2"/>
    <w:basedOn w:val="1"/>
    <w:qFormat/>
    <w:uiPriority w:val="0"/>
    <w:pPr>
      <w:spacing w:after="120" w:line="480" w:lineRule="auto"/>
      <w:ind w:left="420" w:firstLine="539"/>
    </w:pPr>
    <w:rPr>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20"/>
      </w:tabs>
      <w:spacing w:line="360" w:lineRule="auto"/>
    </w:pPr>
  </w:style>
  <w:style w:type="paragraph" w:styleId="17">
    <w:name w:val="List"/>
    <w:basedOn w:val="1"/>
    <w:unhideWhenUsed/>
    <w:qFormat/>
    <w:uiPriority w:val="99"/>
    <w:pPr>
      <w:contextualSpacing/>
      <w:jc w:val="center"/>
    </w:pPr>
    <w:rPr>
      <w:b/>
      <w:kern w:val="2"/>
      <w:sz w:val="24"/>
      <w:lang w:eastAsia="zh-CN"/>
    </w:rPr>
  </w:style>
  <w:style w:type="paragraph" w:styleId="18">
    <w:name w:val="Body Text Indent 3"/>
    <w:basedOn w:val="1"/>
    <w:qFormat/>
    <w:uiPriority w:val="0"/>
    <w:pPr>
      <w:spacing w:after="120"/>
      <w:ind w:left="420" w:leftChars="200"/>
    </w:pPr>
    <w:rPr>
      <w:sz w:val="16"/>
      <w:szCs w:val="16"/>
    </w:rPr>
  </w:style>
  <w:style w:type="paragraph" w:styleId="19">
    <w:name w:val="table of figures"/>
    <w:basedOn w:val="1"/>
    <w:next w:val="1"/>
    <w:qFormat/>
    <w:uiPriority w:val="0"/>
    <w:pPr>
      <w:ind w:left="420" w:hanging="420"/>
      <w:jc w:val="left"/>
    </w:pPr>
    <w:rPr>
      <w:smallCaps/>
      <w:sz w:val="20"/>
    </w:rPr>
  </w:style>
  <w:style w:type="paragraph" w:styleId="20">
    <w:name w:val="toc 2"/>
    <w:basedOn w:val="1"/>
    <w:next w:val="1"/>
    <w:qFormat/>
    <w:uiPriority w:val="39"/>
    <w:pPr>
      <w:tabs>
        <w:tab w:val="left" w:pos="1050"/>
        <w:tab w:val="right" w:leader="dot" w:pos="9020"/>
      </w:tabs>
      <w:spacing w:line="300" w:lineRule="auto"/>
      <w:ind w:left="420" w:leftChars="200"/>
    </w:p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0"/>
    <w:pPr>
      <w:spacing w:line="600" w:lineRule="exact"/>
      <w:ind w:firstLine="567"/>
      <w:jc w:val="center"/>
    </w:pPr>
    <w:rPr>
      <w:rFonts w:ascii="Garamond" w:hAnsi="Garamond"/>
      <w:b/>
      <w:bCs/>
      <w:w w:val="90"/>
      <w:kern w:val="0"/>
      <w:sz w:val="32"/>
      <w:szCs w:val="20"/>
    </w:rPr>
  </w:style>
  <w:style w:type="paragraph" w:styleId="23">
    <w:name w:val="Body Text First Indent"/>
    <w:basedOn w:val="8"/>
    <w:qFormat/>
    <w:uiPriority w:val="0"/>
    <w:pPr>
      <w:ind w:firstLine="420"/>
    </w:pPr>
    <w:rPr>
      <w:sz w:val="32"/>
    </w:rPr>
  </w:style>
  <w:style w:type="table" w:styleId="25">
    <w:name w:val="Table Grid"/>
    <w:basedOn w:val="2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paragraph" w:customStyle="1" w:styleId="29">
    <w:name w:val="标4"/>
    <w:basedOn w:val="30"/>
    <w:next w:val="1"/>
    <w:qFormat/>
    <w:uiPriority w:val="99"/>
    <w:pPr>
      <w:ind w:firstLine="560"/>
      <w:jc w:val="left"/>
      <w:outlineLvl w:val="3"/>
    </w:pPr>
  </w:style>
  <w:style w:type="paragraph" w:customStyle="1" w:styleId="30">
    <w:name w:val="标3"/>
    <w:basedOn w:val="31"/>
    <w:next w:val="1"/>
    <w:qFormat/>
    <w:uiPriority w:val="99"/>
    <w:pPr>
      <w:outlineLvl w:val="2"/>
    </w:pPr>
    <w:rPr>
      <w:rFonts w:ascii="宋体" w:hAnsi="宋体"/>
    </w:rPr>
  </w:style>
  <w:style w:type="paragraph" w:customStyle="1" w:styleId="31">
    <w:name w:val="标2"/>
    <w:basedOn w:val="32"/>
    <w:qFormat/>
    <w:uiPriority w:val="99"/>
    <w:pPr>
      <w:keepNext/>
      <w:keepLines/>
      <w:spacing w:beforeLines="0"/>
      <w:outlineLvl w:val="1"/>
    </w:pPr>
    <w:rPr>
      <w:rFonts w:ascii="黑体" w:hAnsi="黑体" w:cs="宋体"/>
      <w:b w:val="0"/>
      <w:sz w:val="28"/>
      <w:szCs w:val="20"/>
    </w:rPr>
  </w:style>
  <w:style w:type="paragraph" w:customStyle="1" w:styleId="32">
    <w:name w:val="标1"/>
    <w:basedOn w:val="22"/>
    <w:qFormat/>
    <w:uiPriority w:val="99"/>
    <w:pPr>
      <w:adjustRightInd w:val="0"/>
      <w:spacing w:beforeLines="50" w:afterLines="50"/>
    </w:pPr>
    <w:rPr>
      <w:kern w:val="24"/>
      <w:sz w:val="30"/>
      <w:szCs w:val="24"/>
    </w:rPr>
  </w:style>
  <w:style w:type="paragraph" w:customStyle="1" w:styleId="33">
    <w:name w:val="Table Heading"/>
    <w:basedOn w:val="34"/>
    <w:qFormat/>
    <w:uiPriority w:val="0"/>
    <w:pPr>
      <w:autoSpaceDE/>
      <w:autoSpaceDN/>
      <w:spacing w:line="288" w:lineRule="auto"/>
      <w:jc w:val="center"/>
    </w:pPr>
    <w:rPr>
      <w:rFonts w:ascii="宋体" w:hAnsi="宋体"/>
      <w:b/>
    </w:rPr>
  </w:style>
  <w:style w:type="paragraph" w:customStyle="1" w:styleId="34">
    <w:name w:val="Table Text"/>
    <w:basedOn w:val="1"/>
    <w:qFormat/>
    <w:uiPriority w:val="0"/>
    <w:pPr>
      <w:widowControl/>
      <w:autoSpaceDE w:val="0"/>
      <w:autoSpaceDN w:val="0"/>
      <w:spacing w:before="60" w:after="60"/>
      <w:jc w:val="left"/>
    </w:pPr>
    <w:rPr>
      <w:kern w:val="0"/>
    </w:rPr>
  </w:style>
  <w:style w:type="paragraph" w:customStyle="1" w:styleId="35">
    <w:name w:val="_Style 5"/>
    <w:basedOn w:val="2"/>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36">
    <w:name w:val="样式1"/>
    <w:basedOn w:val="1"/>
    <w:qFormat/>
    <w:uiPriority w:val="0"/>
    <w:pPr>
      <w:textAlignment w:val="baseline"/>
    </w:pPr>
    <w:rPr>
      <w:rFonts w:ascii="宋体" w:hAnsi="宋体"/>
      <w:szCs w:val="21"/>
    </w:rPr>
  </w:style>
  <w:style w:type="paragraph" w:customStyle="1" w:styleId="37">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38">
    <w:name w:val="标题 2 Char Char Char"/>
    <w:qFormat/>
    <w:uiPriority w:val="0"/>
    <w:rPr>
      <w:rFonts w:ascii="Arial" w:hAnsi="Arial" w:eastAsia="黑体"/>
      <w:b/>
      <w:bCs/>
      <w:kern w:val="2"/>
      <w:sz w:val="32"/>
      <w:szCs w:val="32"/>
      <w:lang w:val="en-US" w:eastAsia="zh-CN" w:bidi="ar-SA"/>
    </w:rPr>
  </w:style>
  <w:style w:type="paragraph" w:customStyle="1" w:styleId="39">
    <w:name w:val="无间隔1"/>
    <w:basedOn w:val="1"/>
    <w:qFormat/>
    <w:uiPriority w:val="1"/>
    <w:pPr>
      <w:spacing w:line="400" w:lineRule="exact"/>
    </w:pPr>
    <w:rPr>
      <w:sz w:val="24"/>
    </w:rPr>
  </w:style>
  <w:style w:type="paragraph" w:customStyle="1" w:styleId="40">
    <w:name w:val="样式 仿宋_GB2312 四号 行距: 1.5 倍行距"/>
    <w:basedOn w:val="1"/>
    <w:qFormat/>
    <w:uiPriority w:val="0"/>
    <w:pPr>
      <w:spacing w:line="360" w:lineRule="auto"/>
      <w:ind w:firstLine="560"/>
    </w:pPr>
    <w:rPr>
      <w:rFonts w:ascii="宋体" w:hAnsi="宋体"/>
      <w:color w:val="000000"/>
    </w:rPr>
  </w:style>
  <w:style w:type="paragraph" w:styleId="41">
    <w:name w:val="List Paragraph"/>
    <w:basedOn w:val="1"/>
    <w:qFormat/>
    <w:uiPriority w:val="34"/>
    <w:pPr>
      <w:ind w:firstLine="420" w:firstLineChars="200"/>
    </w:pPr>
    <w:rPr>
      <w:rFonts w:ascii="Calibri" w:hAnsi="Calibri"/>
      <w:szCs w:val="22"/>
    </w:rPr>
  </w:style>
  <w:style w:type="character" w:customStyle="1" w:styleId="42">
    <w:name w:val="font31"/>
    <w:basedOn w:val="26"/>
    <w:qFormat/>
    <w:uiPriority w:val="0"/>
    <w:rPr>
      <w:rFonts w:hint="eastAsia" w:ascii="宋体" w:hAnsi="宋体" w:eastAsia="宋体" w:cs="宋体"/>
      <w:color w:val="000000"/>
      <w:sz w:val="24"/>
      <w:szCs w:val="24"/>
      <w:u w:val="none"/>
    </w:rPr>
  </w:style>
  <w:style w:type="character" w:customStyle="1" w:styleId="43">
    <w:name w:val="font21"/>
    <w:basedOn w:val="26"/>
    <w:qFormat/>
    <w:uiPriority w:val="0"/>
    <w:rPr>
      <w:rFonts w:hint="default" w:ascii="Times New Roman" w:hAnsi="Times New Roman" w:cs="Times New Roman"/>
      <w:color w:val="000000"/>
      <w:sz w:val="24"/>
      <w:szCs w:val="24"/>
      <w:u w:val="none"/>
    </w:rPr>
  </w:style>
  <w:style w:type="character" w:customStyle="1" w:styleId="44">
    <w:name w:val="font01"/>
    <w:basedOn w:val="26"/>
    <w:qFormat/>
    <w:uiPriority w:val="0"/>
    <w:rPr>
      <w:rFonts w:hint="eastAsia" w:ascii="宋体" w:hAnsi="宋体" w:eastAsia="宋体" w:cs="宋体"/>
      <w:color w:val="000000"/>
      <w:sz w:val="24"/>
      <w:szCs w:val="24"/>
      <w:u w:val="none"/>
    </w:rPr>
  </w:style>
  <w:style w:type="character" w:customStyle="1" w:styleId="45">
    <w:name w:val="页眉 字符"/>
    <w:basedOn w:val="26"/>
    <w:link w:val="15"/>
    <w:qFormat/>
    <w:uiPriority w:val="0"/>
    <w:rPr>
      <w:kern w:val="2"/>
      <w:sz w:val="18"/>
      <w:szCs w:val="18"/>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font41"/>
    <w:basedOn w:val="26"/>
    <w:qFormat/>
    <w:uiPriority w:val="0"/>
    <w:rPr>
      <w:rFonts w:hint="eastAsia" w:ascii="宋体" w:hAnsi="宋体" w:eastAsia="宋体" w:cs="宋体"/>
      <w:b/>
      <w:bCs/>
      <w:color w:val="000000"/>
      <w:sz w:val="22"/>
      <w:szCs w:val="22"/>
      <w:u w:val="single"/>
    </w:rPr>
  </w:style>
  <w:style w:type="character" w:customStyle="1" w:styleId="48">
    <w:name w:val="font51"/>
    <w:basedOn w:val="26"/>
    <w:qFormat/>
    <w:uiPriority w:val="0"/>
    <w:rPr>
      <w:rFonts w:hint="eastAsia" w:ascii="宋体" w:hAnsi="宋体" w:eastAsia="宋体" w:cs="宋体"/>
      <w:color w:val="000000"/>
      <w:sz w:val="22"/>
      <w:szCs w:val="22"/>
      <w:u w:val="single"/>
    </w:rPr>
  </w:style>
  <w:style w:type="character" w:customStyle="1" w:styleId="49">
    <w:name w:val="font11"/>
    <w:basedOn w:val="26"/>
    <w:qFormat/>
    <w:uiPriority w:val="0"/>
    <w:rPr>
      <w:rFonts w:hint="eastAsia" w:ascii="宋体" w:hAnsi="宋体" w:eastAsia="宋体" w:cs="宋体"/>
      <w:b/>
      <w:bCs/>
      <w:color w:val="000000"/>
      <w:sz w:val="48"/>
      <w:szCs w:val="48"/>
      <w:u w:val="none"/>
    </w:rPr>
  </w:style>
  <w:style w:type="character" w:customStyle="1" w:styleId="50">
    <w:name w:val="font61"/>
    <w:basedOn w:val="26"/>
    <w:qFormat/>
    <w:uiPriority w:val="0"/>
    <w:rPr>
      <w:rFonts w:hint="default" w:ascii="Times New Roman" w:hAnsi="Times New Roman" w:cs="Times New Roman"/>
      <w:color w:val="000000"/>
      <w:sz w:val="21"/>
      <w:szCs w:val="21"/>
      <w:u w:val="none"/>
    </w:rPr>
  </w:style>
  <w:style w:type="character" w:customStyle="1" w:styleId="51">
    <w:name w:val="font71"/>
    <w:basedOn w:val="26"/>
    <w:qFormat/>
    <w:uiPriority w:val="0"/>
    <w:rPr>
      <w:rFonts w:hint="eastAsia" w:ascii="宋体" w:hAnsi="宋体" w:eastAsia="宋体" w:cs="宋体"/>
      <w:color w:val="000000"/>
      <w:sz w:val="24"/>
      <w:szCs w:val="24"/>
      <w:u w:val="single"/>
    </w:rPr>
  </w:style>
  <w:style w:type="character" w:customStyle="1" w:styleId="52">
    <w:name w:val="font81"/>
    <w:basedOn w:val="26"/>
    <w:qFormat/>
    <w:uiPriority w:val="0"/>
    <w:rPr>
      <w:rFonts w:hint="eastAsia" w:ascii="宋体" w:hAnsi="宋体" w:eastAsia="宋体" w:cs="宋体"/>
      <w:color w:val="000000"/>
      <w:sz w:val="21"/>
      <w:szCs w:val="21"/>
      <w:u w:val="none"/>
    </w:rPr>
  </w:style>
  <w:style w:type="character" w:customStyle="1" w:styleId="53">
    <w:name w:val="font91"/>
    <w:basedOn w:val="26"/>
    <w:qFormat/>
    <w:uiPriority w:val="0"/>
    <w:rPr>
      <w:rFonts w:hint="default" w:ascii="Times New Roman" w:hAnsi="Times New Roman" w:cs="Times New Roman"/>
      <w:color w:val="000000"/>
      <w:sz w:val="24"/>
      <w:szCs w:val="24"/>
      <w:u w:val="none"/>
    </w:rPr>
  </w:style>
  <w:style w:type="character" w:customStyle="1" w:styleId="54">
    <w:name w:val="font112"/>
    <w:basedOn w:val="26"/>
    <w:qFormat/>
    <w:uiPriority w:val="0"/>
    <w:rPr>
      <w:rFonts w:ascii="Wingdings" w:hAnsi="Wingdings" w:cs="Wingdings"/>
      <w:b/>
      <w:bCs/>
      <w:color w:val="000000"/>
      <w:sz w:val="30"/>
      <w:szCs w:val="30"/>
      <w:u w:val="none"/>
    </w:rPr>
  </w:style>
  <w:style w:type="character" w:customStyle="1" w:styleId="55">
    <w:name w:val="font121"/>
    <w:basedOn w:val="26"/>
    <w:qFormat/>
    <w:uiPriority w:val="0"/>
    <w:rPr>
      <w:rFonts w:hint="default" w:ascii="Wingdings" w:hAnsi="Wingdings" w:cs="Wingdings"/>
      <w:b/>
      <w:bCs/>
      <w:color w:val="000000"/>
      <w:sz w:val="30"/>
      <w:szCs w:val="30"/>
      <w:u w:val="none"/>
    </w:rPr>
  </w:style>
  <w:style w:type="character" w:customStyle="1" w:styleId="56">
    <w:name w:val="font101"/>
    <w:basedOn w:val="26"/>
    <w:qFormat/>
    <w:uiPriority w:val="0"/>
    <w:rPr>
      <w:rFonts w:hint="eastAsia" w:ascii="黑体" w:hAnsi="宋体" w:eastAsia="黑体" w:cs="黑体"/>
      <w:color w:val="000000"/>
      <w:sz w:val="28"/>
      <w:szCs w:val="28"/>
      <w:u w:val="single"/>
    </w:rPr>
  </w:style>
  <w:style w:type="character" w:customStyle="1" w:styleId="57">
    <w:name w:val="font291"/>
    <w:basedOn w:val="26"/>
    <w:qFormat/>
    <w:uiPriority w:val="0"/>
    <w:rPr>
      <w:rFonts w:hint="default" w:ascii="Wingdings" w:hAnsi="Wingdings" w:cs="Wingdings"/>
      <w:b/>
      <w:bCs/>
      <w:color w:val="auto"/>
      <w:sz w:val="30"/>
      <w:szCs w:val="30"/>
      <w:u w:val="none"/>
    </w:rPr>
  </w:style>
  <w:style w:type="character" w:customStyle="1" w:styleId="58">
    <w:name w:val="font301"/>
    <w:basedOn w:val="26"/>
    <w:qFormat/>
    <w:uiPriority w:val="0"/>
    <w:rPr>
      <w:rFonts w:hint="default" w:ascii="Wingdings" w:hAnsi="Wingdings" w:cs="Wingdings"/>
      <w:b/>
      <w:bCs/>
      <w:color w:val="auto"/>
      <w:sz w:val="30"/>
      <w:szCs w:val="30"/>
      <w:u w:val="none"/>
    </w:rPr>
  </w:style>
  <w:style w:type="character" w:customStyle="1" w:styleId="59">
    <w:name w:val="font312"/>
    <w:basedOn w:val="26"/>
    <w:qFormat/>
    <w:uiPriority w:val="0"/>
    <w:rPr>
      <w:rFonts w:hint="eastAsia" w:ascii="黑体" w:hAnsi="宋体" w:eastAsia="黑体" w:cs="黑体"/>
      <w:color w:val="auto"/>
      <w:sz w:val="28"/>
      <w:szCs w:val="28"/>
      <w:u w:val="single"/>
    </w:rPr>
  </w:style>
  <w:style w:type="character" w:customStyle="1" w:styleId="60">
    <w:name w:val="font12"/>
    <w:basedOn w:val="26"/>
    <w:qFormat/>
    <w:uiPriority w:val="0"/>
    <w:rPr>
      <w:rFonts w:hint="eastAsia" w:ascii="黑体" w:hAnsi="宋体" w:eastAsia="黑体" w:cs="黑体"/>
      <w:color w:val="auto"/>
      <w:sz w:val="28"/>
      <w:szCs w:val="28"/>
      <w:u w:val="none"/>
    </w:rPr>
  </w:style>
  <w:style w:type="character" w:customStyle="1" w:styleId="61">
    <w:name w:val="标题 #3 + 间距 4 pt"/>
    <w:basedOn w:val="62"/>
    <w:autoRedefine/>
    <w:unhideWhenUsed/>
    <w:qFormat/>
    <w:uiPriority w:val="99"/>
    <w:rPr>
      <w:rFonts w:hint="eastAsia"/>
      <w:spacing w:val="80"/>
      <w:sz w:val="36"/>
      <w:szCs w:val="36"/>
    </w:rPr>
  </w:style>
  <w:style w:type="character" w:customStyle="1" w:styleId="62">
    <w:name w:val="标题 #3_"/>
    <w:basedOn w:val="26"/>
    <w:link w:val="63"/>
    <w:unhideWhenUsed/>
    <w:qFormat/>
    <w:uiPriority w:val="99"/>
    <w:rPr>
      <w:rFonts w:hint="eastAsia" w:ascii="MingLiU" w:hAnsi="MingLiU" w:eastAsia="MingLiU" w:cs="Times New Roman"/>
      <w:spacing w:val="40"/>
      <w:sz w:val="36"/>
      <w:szCs w:val="36"/>
    </w:rPr>
  </w:style>
  <w:style w:type="paragraph" w:customStyle="1" w:styleId="63">
    <w:name w:val="标题 #3"/>
    <w:link w:val="62"/>
    <w:autoRedefine/>
    <w:unhideWhenUsed/>
    <w:qFormat/>
    <w:uiPriority w:val="99"/>
    <w:pPr>
      <w:shd w:val="clear" w:color="auto" w:fill="FFFFFF"/>
      <w:spacing w:before="1020" w:beforeLines="0" w:after="780" w:afterLines="0" w:line="557" w:lineRule="exact"/>
      <w:jc w:val="center"/>
      <w:outlineLvl w:val="2"/>
    </w:pPr>
    <w:rPr>
      <w:rFonts w:hint="eastAsia" w:ascii="MingLiU" w:hAnsi="MingLiU" w:eastAsia="MingLiU" w:cs="Times New Roman"/>
      <w:spacing w:val="4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774</Words>
  <Characters>894</Characters>
  <Lines>57</Lines>
  <Paragraphs>16</Paragraphs>
  <TotalTime>20</TotalTime>
  <ScaleCrop>false</ScaleCrop>
  <LinksUpToDate>false</LinksUpToDate>
  <CharactersWithSpaces>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2024-09-03T08:54:00Z</dcterms:created>
  <dc:creator>乔辰生</dc:creator>
  <cp:lastModifiedBy>Leah</cp:lastModifiedBy>
  <cp:lastPrinted>2025-01-24T01:39:00Z</cp:lastPrinted>
  <dcterms:modified xsi:type="dcterms:W3CDTF">2026-05-11T01:14:33Z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06A689D29B834DABB32B81F4812BA528_13</vt:lpwstr>
  </property>
  <property fmtid="{D5CDD505-2E9C-101B-9397-08002B2CF9AE}" pid="4" name="KSOTemplateDocerSaveRecord">
    <vt:lpwstr>eyJoZGlkIjoiZWExOWQ0Yzk0MDhhMTdiMjFjMWEwNWFiZmQ2ODQ5MTQiLCJ1c2VySWQiOiIxMTUwNzI5NjU3In0=</vt:lpwstr>
  </property>
</Properties>
</file>