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 xml:space="preserve">工程名称：东南汽车深化合作项目（华擎项目）总承包工程桩基专业分包工程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工程地点：福州市闽侯县青口镇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7"/>
        <w:tblW w:w="10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00"/>
        <w:gridCol w:w="2977"/>
        <w:gridCol w:w="737"/>
        <w:gridCol w:w="666"/>
        <w:gridCol w:w="1067"/>
        <w:gridCol w:w="869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说明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一级配电柜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1*630+2*400 带脚架配电柜配置清单：700*1700动力柜*1个、630A隔离开关*1个、630A透明空开*1个、630A透明漏电开关*1个、400A透明空开*2个、400A漏电开关*2个、电流表电压表电表互感器*1套、铜排线材*1套、10米短接线（铝合金橡套软电缆3*240+2）*1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76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注：1.以上报价是否含税：是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24"/>
          <w:szCs w:val="24"/>
        </w:rPr>
        <w:t>（税率：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％） 否</w:t>
      </w:r>
      <w:r>
        <w:rPr>
          <w:rFonts w:hint="eastAsia" w:ascii="仿宋" w:hAnsi="仿宋" w:eastAsia="仿宋" w:cs="仿宋"/>
          <w:sz w:val="24"/>
          <w:szCs w:val="24"/>
        </w:rPr>
        <w:sym w:font="Wingdings" w:char="F0A8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以上材料报价有效期为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60 </w:t>
      </w:r>
      <w:r>
        <w:rPr>
          <w:rFonts w:hint="eastAsia" w:ascii="仿宋" w:hAnsi="仿宋" w:eastAsia="仿宋" w:cs="仿宋"/>
          <w:sz w:val="24"/>
          <w:szCs w:val="24"/>
        </w:rPr>
        <w:t>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上述清单为暂定工程量，最终完工量据实结算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numPr>
          <w:ilvl w:val="0"/>
          <w:numId w:val="0"/>
        </w:num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en-US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付款方式：</w:t>
      </w:r>
    </w:p>
    <w:p>
      <w:pPr>
        <w:pStyle w:val="9"/>
        <w:ind w:left="0" w:leftChars="0" w:firstLine="1120" w:firstLineChars="400"/>
        <w:jc w:val="both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-合同内约定-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代表：          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71A18BB"/>
    <w:rsid w:val="09DC1D18"/>
    <w:rsid w:val="0B570878"/>
    <w:rsid w:val="0E555C71"/>
    <w:rsid w:val="0FAA4891"/>
    <w:rsid w:val="17182E06"/>
    <w:rsid w:val="1D085C6A"/>
    <w:rsid w:val="275C189F"/>
    <w:rsid w:val="27B97A3A"/>
    <w:rsid w:val="290F0001"/>
    <w:rsid w:val="2B504240"/>
    <w:rsid w:val="2DB360F1"/>
    <w:rsid w:val="3F5259D9"/>
    <w:rsid w:val="41ED1EC0"/>
    <w:rsid w:val="49EA5BA0"/>
    <w:rsid w:val="4E6F2BA4"/>
    <w:rsid w:val="52DC602A"/>
    <w:rsid w:val="53364B4E"/>
    <w:rsid w:val="550D1BB0"/>
    <w:rsid w:val="5B7744BB"/>
    <w:rsid w:val="5ED01C5C"/>
    <w:rsid w:val="6354299A"/>
    <w:rsid w:val="67770799"/>
    <w:rsid w:val="6AC1698C"/>
    <w:rsid w:val="6C5A66B7"/>
    <w:rsid w:val="714941C5"/>
    <w:rsid w:val="73763CFB"/>
    <w:rsid w:val="7AF333A4"/>
    <w:rsid w:val="7B9C25BC"/>
    <w:rsid w:val="7F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标4"/>
    <w:basedOn w:val="10"/>
    <w:next w:val="1"/>
    <w:qFormat/>
    <w:uiPriority w:val="99"/>
    <w:pPr>
      <w:ind w:firstLine="560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5"/>
    <w:qFormat/>
    <w:uiPriority w:val="99"/>
    <w:pPr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2</TotalTime>
  <ScaleCrop>false</ScaleCrop>
  <LinksUpToDate>false</LinksUpToDate>
  <CharactersWithSpaces>340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2026-05-12T02:48:33Z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C0E11AE4D2134BA5B95C67C06E5B5ECE_13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