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7E8C6">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bookmarkStart w:id="0" w:name="_GoBack"/>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73AE215E">
      <w:pPr>
        <w:kinsoku/>
        <w:autoSpaceDE/>
        <w:autoSpaceDN/>
        <w:adjustRightInd/>
        <w:snapToGrid/>
        <w:spacing w:line="360" w:lineRule="auto"/>
        <w:ind w:left="0" w:leftChars="0" w:right="11" w:firstLine="638" w:firstLineChars="228"/>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我公司拟对福建古雷石化有限公司乙苯分馏项目桩基工程现场围栏及大门材料开展竞争谈判采购。</w:t>
      </w:r>
    </w:p>
    <w:p w14:paraId="2D4D160A">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采购编号：ZMCJ-LXCG-2026-WX-017</w:t>
      </w:r>
    </w:p>
    <w:p w14:paraId="14F552EE">
      <w:pPr>
        <w:pStyle w:val="14"/>
        <w:spacing w:line="360" w:lineRule="auto"/>
        <w:jc w:val="both"/>
        <w:rPr>
          <w:rFonts w:hint="eastAsia" w:ascii="仿宋" w:hAnsi="仿宋" w:eastAsia="仿宋" w:cs="仿宋"/>
          <w:b/>
          <w:bCs/>
          <w:color w:val="auto"/>
          <w:kern w:val="2"/>
          <w:sz w:val="28"/>
          <w:szCs w:val="28"/>
        </w:rPr>
      </w:pPr>
      <w:r>
        <w:rPr>
          <w:rFonts w:hint="eastAsia" w:ascii="仿宋" w:hAnsi="仿宋" w:eastAsia="仿宋" w:cs="仿宋"/>
          <w:b/>
          <w:bCs/>
          <w:color w:val="auto"/>
          <w:sz w:val="28"/>
          <w:szCs w:val="28"/>
        </w:rPr>
        <w:t>一、项目概况</w:t>
      </w:r>
    </w:p>
    <w:p w14:paraId="2A7C760B">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项目名称：福建古雷石化有限公司乙苯分馏项目桩基工程</w:t>
      </w:r>
    </w:p>
    <w:p w14:paraId="6D6A8516">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采购需求（具体要求详见报价表）：</w:t>
      </w:r>
    </w:p>
    <w:p w14:paraId="5DAA4131">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围栏150米（围栏高度：1.8m；围栏形式：采用80*80*4.0mm方钢管做立柱，立柱间距3m，上下设置60*60*3mm方钢管横梁，外侧安装0.6mm厚单层彩钢铁皮围挡，外墙四周墙角设置钢丝绳地锚抗拉。）；</w:t>
      </w:r>
    </w:p>
    <w:p w14:paraId="1B72FC16">
      <w:pPr>
        <w:kinsoku/>
        <w:autoSpaceDE/>
        <w:autoSpaceDN/>
        <w:adjustRightInd/>
        <w:snapToGrid/>
        <w:spacing w:line="360" w:lineRule="auto"/>
        <w:ind w:right="11" w:firstLine="560" w:firstLineChars="200"/>
        <w:textAlignment w:val="auto"/>
        <w:rPr>
          <w:rFonts w:hint="eastAsia" w:eastAsia="宋体"/>
          <w:color w:val="auto"/>
          <w:lang w:eastAsia="zh-CN"/>
        </w:rPr>
      </w:pPr>
      <w:r>
        <w:rPr>
          <w:rFonts w:hint="eastAsia" w:ascii="仿宋" w:hAnsi="仿宋" w:eastAsia="仿宋" w:cs="仿宋"/>
          <w:snapToGrid/>
          <w:color w:val="auto"/>
          <w:sz w:val="28"/>
          <w:szCs w:val="28"/>
          <w:lang w:val="en-US" w:eastAsia="zh-CN"/>
        </w:rPr>
        <w:t>大门一套（设置带万向轮的双开型大门，大门高度1.8米，离地高度20cm，宽度8米，门柱采用φ100钢管立柱，预埋连接板厚度8mm，大门做法与围栏一致</w:t>
      </w:r>
      <w:r>
        <w:rPr>
          <w:rFonts w:hint="eastAsia" w:ascii="宋体" w:hAnsi="宋体" w:eastAsia="宋体" w:cs="宋体"/>
          <w:i w:val="0"/>
          <w:iCs w:val="0"/>
          <w:snapToGrid w:val="0"/>
          <w:color w:val="auto"/>
          <w:kern w:val="0"/>
          <w:sz w:val="20"/>
          <w:szCs w:val="20"/>
          <w:u w:val="none"/>
          <w:lang w:val="en-US" w:eastAsia="zh-CN" w:bidi="ar"/>
        </w:rPr>
        <w:t>。</w:t>
      </w:r>
      <w:r>
        <w:rPr>
          <w:rFonts w:hint="eastAsia" w:ascii="仿宋" w:hAnsi="仿宋" w:eastAsia="仿宋" w:cs="仿宋"/>
          <w:snapToGrid/>
          <w:color w:val="auto"/>
          <w:sz w:val="28"/>
          <w:szCs w:val="28"/>
          <w:lang w:val="en-US" w:eastAsia="zh-CN"/>
        </w:rPr>
        <w:t>）</w:t>
      </w:r>
    </w:p>
    <w:p w14:paraId="1CDD992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jc w:val="left"/>
        <w:textAlignment w:val="auto"/>
        <w:outlineLvl w:val="9"/>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：福建省漳州市古雷港经济开发区</w:t>
      </w:r>
    </w:p>
    <w:p w14:paraId="6373D836">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评审办法：</w:t>
      </w:r>
      <w:r>
        <w:rPr>
          <w:rFonts w:hint="eastAsia" w:ascii="仿宋" w:hAnsi="仿宋" w:eastAsia="仿宋" w:cs="仿宋"/>
          <w:snapToGrid/>
          <w:color w:val="auto"/>
          <w:sz w:val="28"/>
          <w:szCs w:val="28"/>
          <w:lang w:val="en-US" w:eastAsia="zh-CN"/>
        </w:rPr>
        <w:t>满足项目采购需求的前提下，合理低价中标</w:t>
      </w:r>
    </w:p>
    <w:p w14:paraId="64431C8A">
      <w:pPr>
        <w:pStyle w:val="10"/>
        <w:rPr>
          <w:rFonts w:hint="default"/>
          <w:color w:val="auto"/>
          <w:lang w:val="en-US" w:eastAsia="zh-CN"/>
        </w:rPr>
      </w:pPr>
      <w:r>
        <w:rPr>
          <w:rFonts w:hint="eastAsia" w:ascii="仿宋" w:hAnsi="仿宋" w:eastAsia="仿宋" w:cs="仿宋"/>
          <w:snapToGrid/>
          <w:color w:val="auto"/>
          <w:sz w:val="28"/>
          <w:szCs w:val="28"/>
          <w:lang w:val="en-US" w:eastAsia="zh-CN"/>
        </w:rPr>
        <w:t>采购限价：3.3万元</w:t>
      </w:r>
    </w:p>
    <w:p w14:paraId="637938FD">
      <w:pPr>
        <w:pStyle w:val="14"/>
        <w:spacing w:line="360" w:lineRule="auto"/>
        <w:jc w:val="both"/>
        <w:rPr>
          <w:rFonts w:hint="eastAsia" w:ascii="仿宋" w:hAnsi="仿宋" w:eastAsia="仿宋" w:cs="仿宋"/>
          <w:b/>
          <w:bCs/>
          <w:color w:val="auto"/>
          <w:sz w:val="28"/>
          <w:szCs w:val="28"/>
        </w:rPr>
      </w:pPr>
      <w:r>
        <w:rPr>
          <w:rFonts w:hint="eastAsia" w:ascii="仿宋" w:hAnsi="仿宋" w:eastAsia="仿宋" w:cs="仿宋"/>
          <w:b/>
          <w:bCs/>
          <w:color w:val="auto"/>
          <w:sz w:val="28"/>
          <w:szCs w:val="28"/>
        </w:rPr>
        <w:t>二、</w:t>
      </w:r>
      <w:r>
        <w:rPr>
          <w:rFonts w:hint="eastAsia" w:ascii="仿宋" w:hAnsi="仿宋" w:eastAsia="仿宋" w:cs="仿宋"/>
          <w:b/>
          <w:bCs/>
          <w:color w:val="auto"/>
          <w:sz w:val="28"/>
          <w:szCs w:val="28"/>
          <w:lang w:val="en-US" w:eastAsia="zh-CN"/>
        </w:rPr>
        <w:t>响应</w:t>
      </w:r>
      <w:r>
        <w:rPr>
          <w:rFonts w:hint="eastAsia" w:ascii="仿宋" w:hAnsi="仿宋" w:eastAsia="仿宋" w:cs="仿宋"/>
          <w:b/>
          <w:bCs/>
          <w:color w:val="auto"/>
          <w:sz w:val="28"/>
          <w:szCs w:val="28"/>
        </w:rPr>
        <w:t>人的资格要求</w:t>
      </w:r>
    </w:p>
    <w:p w14:paraId="3E0111FC">
      <w:pPr>
        <w:kinsoku/>
        <w:autoSpaceDE/>
        <w:autoSpaceDN/>
        <w:adjustRightInd/>
        <w:snapToGrid/>
        <w:spacing w:line="360" w:lineRule="auto"/>
        <w:ind w:right="11" w:firstLine="560" w:firstLineChars="200"/>
        <w:textAlignment w:val="auto"/>
        <w:rPr>
          <w:rFonts w:hint="eastAsia" w:eastAsia="宋体"/>
          <w:color w:val="auto"/>
          <w:lang w:eastAsia="zh-CN"/>
        </w:rPr>
      </w:pPr>
      <w:r>
        <w:rPr>
          <w:rFonts w:hint="eastAsia" w:ascii="仿宋" w:hAnsi="仿宋" w:eastAsia="仿宋" w:cs="仿宋"/>
          <w:snapToGrid/>
          <w:color w:val="auto"/>
          <w:sz w:val="28"/>
          <w:szCs w:val="28"/>
          <w:lang w:eastAsia="zh-CN"/>
        </w:rPr>
        <w:t>1</w:t>
      </w:r>
      <w:r>
        <w:rPr>
          <w:rFonts w:hint="eastAsia" w:ascii="仿宋" w:hAnsi="仿宋" w:eastAsia="仿宋" w:cs="仿宋"/>
          <w:snapToGrid/>
          <w:color w:val="auto"/>
          <w:sz w:val="28"/>
          <w:szCs w:val="28"/>
          <w:lang w:val="en-US" w:eastAsia="zh-CN"/>
        </w:rPr>
        <w:t>.响应单位成立时间不少于一年，具备对应经营范围，持有合格有效的营业执照，且在人员、资金等方面具备相应能力。</w:t>
      </w:r>
    </w:p>
    <w:p w14:paraId="4283FF01">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存在以下情形之一的供应商不得参与本项目响应：与本项目其他供应商单位负责人为同一人；与本项目其他供应商存在直接控股关系；与本项目其他供应商存在管理关系；被本项目所在地省级以上行业主管部门依法暂停、取消响应资格或禁止参加采购活动。</w:t>
      </w:r>
    </w:p>
    <w:p w14:paraId="2EF3F7DC">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3</w:t>
      </w:r>
      <w:r>
        <w:rPr>
          <w:rFonts w:hint="eastAsia" w:ascii="仿宋" w:hAnsi="仿宋" w:eastAsia="仿宋" w:cs="仿宋"/>
          <w:snapToGrid/>
          <w:color w:val="auto"/>
          <w:sz w:val="28"/>
          <w:szCs w:val="28"/>
          <w:lang w:val="en-US" w:eastAsia="zh-CN"/>
        </w:rPr>
        <w:t>.本项目不接受联合体报名。</w:t>
      </w:r>
    </w:p>
    <w:p w14:paraId="67DC0E96">
      <w:pPr>
        <w:kinsoku/>
        <w:autoSpaceDE/>
        <w:autoSpaceDN/>
        <w:adjustRightInd/>
        <w:snapToGrid/>
        <w:spacing w:line="360" w:lineRule="auto"/>
        <w:jc w:val="left"/>
        <w:textAlignment w:val="auto"/>
        <w:rPr>
          <w:rFonts w:hint="eastAsia" w:ascii="仿宋" w:hAnsi="仿宋" w:eastAsia="仿宋" w:cs="仿宋"/>
          <w:b/>
          <w:bCs/>
          <w:snapToGrid/>
          <w:color w:val="auto"/>
          <w:kern w:val="2"/>
          <w:sz w:val="28"/>
          <w:szCs w:val="28"/>
        </w:rPr>
      </w:pPr>
      <w:r>
        <w:rPr>
          <w:rFonts w:hint="eastAsia" w:ascii="仿宋" w:hAnsi="仿宋" w:eastAsia="仿宋" w:cs="仿宋"/>
          <w:b/>
          <w:bCs/>
          <w:snapToGrid/>
          <w:color w:val="auto"/>
          <w:sz w:val="28"/>
          <w:szCs w:val="28"/>
          <w:lang w:eastAsia="zh-CN"/>
        </w:rPr>
        <w:t>三</w:t>
      </w:r>
      <w:r>
        <w:rPr>
          <w:rFonts w:hint="eastAsia" w:ascii="仿宋" w:hAnsi="仿宋" w:eastAsia="仿宋" w:cs="仿宋"/>
          <w:b/>
          <w:bCs/>
          <w:snapToGrid/>
          <w:color w:val="auto"/>
          <w:sz w:val="28"/>
          <w:szCs w:val="28"/>
        </w:rPr>
        <w:t>、报名方式</w:t>
      </w:r>
    </w:p>
    <w:p w14:paraId="2A3478E3">
      <w:pPr>
        <w:kinsoku/>
        <w:autoSpaceDE/>
        <w:autoSpaceDN/>
        <w:adjustRightInd/>
        <w:snapToGrid/>
        <w:spacing w:line="360" w:lineRule="auto"/>
        <w:ind w:right="11" w:firstLine="560" w:firstLineChars="200"/>
        <w:textAlignment w:val="auto"/>
        <w:rPr>
          <w:rFonts w:hint="eastAsia" w:eastAsia="宋体"/>
          <w:color w:val="auto"/>
          <w:lang w:eastAsia="zh-CN"/>
        </w:rPr>
      </w:pPr>
      <w:r>
        <w:rPr>
          <w:rFonts w:hint="eastAsia" w:ascii="仿宋" w:hAnsi="仿宋" w:eastAsia="仿宋" w:cs="仿宋"/>
          <w:snapToGrid/>
          <w:color w:val="auto"/>
          <w:sz w:val="28"/>
          <w:szCs w:val="28"/>
          <w:lang w:eastAsia="zh-CN"/>
        </w:rPr>
        <w:t>凡有意参加本项目的供应商，请于202</w:t>
      </w:r>
      <w:r>
        <w:rPr>
          <w:rFonts w:hint="eastAsia" w:ascii="仿宋" w:hAnsi="仿宋" w:eastAsia="仿宋" w:cs="仿宋"/>
          <w:snapToGrid/>
          <w:color w:val="auto"/>
          <w:sz w:val="28"/>
          <w:szCs w:val="28"/>
          <w:lang w:val="en-US" w:eastAsia="zh-CN"/>
        </w:rPr>
        <w:t>6年10月</w:t>
      </w:r>
      <w:r>
        <w:rPr>
          <w:rFonts w:hint="eastAsia" w:ascii="仿宋" w:hAnsi="仿宋" w:eastAsia="仿宋" w:cs="仿宋"/>
          <w:snapToGrid/>
          <w:color w:val="auto"/>
          <w:sz w:val="28"/>
          <w:szCs w:val="28"/>
          <w:lang w:val="en-US" w:eastAsia="zh-CN"/>
        </w:rPr>
        <w:t>13</w:t>
      </w:r>
      <w:r>
        <w:rPr>
          <w:rFonts w:hint="eastAsia" w:ascii="仿宋" w:hAnsi="仿宋" w:eastAsia="仿宋" w:cs="仿宋"/>
          <w:snapToGrid/>
          <w:color w:val="auto"/>
          <w:sz w:val="28"/>
          <w:szCs w:val="28"/>
          <w:lang w:val="en-US" w:eastAsia="zh-CN"/>
        </w:rPr>
        <w:t>日上午10时前递交（或邮寄）响应文件。</w:t>
      </w:r>
    </w:p>
    <w:p w14:paraId="672FC740">
      <w:pPr>
        <w:kinsoku/>
        <w:autoSpaceDE/>
        <w:autoSpaceDN/>
        <w:adjustRightInd/>
        <w:snapToGrid/>
        <w:spacing w:line="360" w:lineRule="auto"/>
        <w:ind w:right="12"/>
        <w:textAlignment w:val="auto"/>
        <w:rPr>
          <w:rFonts w:hint="eastAsia" w:ascii="仿宋" w:hAnsi="仿宋" w:eastAsia="仿宋" w:cs="仿宋"/>
          <w:snapToGrid/>
          <w:color w:val="auto"/>
          <w:sz w:val="28"/>
          <w:szCs w:val="28"/>
          <w:lang w:eastAsia="zh-CN"/>
        </w:rPr>
      </w:pPr>
      <w:r>
        <w:rPr>
          <w:rFonts w:hint="eastAsia" w:ascii="仿宋" w:hAnsi="仿宋" w:eastAsia="仿宋" w:cs="仿宋"/>
          <w:b/>
          <w:bCs/>
          <w:snapToGrid/>
          <w:color w:val="auto"/>
          <w:sz w:val="28"/>
          <w:szCs w:val="28"/>
          <w:lang w:eastAsia="zh-CN"/>
        </w:rPr>
        <w:t>四、</w:t>
      </w:r>
      <w:r>
        <w:rPr>
          <w:rFonts w:hint="eastAsia" w:ascii="仿宋" w:hAnsi="仿宋" w:eastAsia="仿宋" w:cs="仿宋"/>
          <w:b/>
          <w:bCs/>
          <w:color w:val="auto"/>
          <w:sz w:val="28"/>
          <w:szCs w:val="28"/>
          <w:lang w:val="en-US" w:eastAsia="zh-CN"/>
        </w:rPr>
        <w:t>报价</w:t>
      </w:r>
      <w:r>
        <w:rPr>
          <w:rFonts w:hint="eastAsia" w:ascii="仿宋" w:hAnsi="仿宋" w:eastAsia="仿宋" w:cs="仿宋"/>
          <w:b/>
          <w:bCs/>
          <w:color w:val="auto"/>
          <w:sz w:val="28"/>
          <w:szCs w:val="28"/>
        </w:rPr>
        <w:t>人</w:t>
      </w:r>
      <w:r>
        <w:rPr>
          <w:rFonts w:hint="eastAsia" w:ascii="仿宋" w:hAnsi="仿宋" w:eastAsia="仿宋" w:cs="仿宋"/>
          <w:b/>
          <w:bCs/>
          <w:snapToGrid/>
          <w:color w:val="auto"/>
          <w:sz w:val="28"/>
          <w:szCs w:val="28"/>
        </w:rPr>
        <w:t>需提供以下材料</w:t>
      </w:r>
      <w:r>
        <w:rPr>
          <w:rFonts w:hint="eastAsia" w:ascii="仿宋" w:hAnsi="仿宋" w:eastAsia="仿宋" w:cs="仿宋"/>
          <w:b/>
          <w:bCs/>
          <w:snapToGrid/>
          <w:color w:val="auto"/>
          <w:sz w:val="28"/>
          <w:szCs w:val="28"/>
          <w:lang w:eastAsia="zh-CN"/>
        </w:rPr>
        <w:t xml:space="preserve"> </w:t>
      </w:r>
    </w:p>
    <w:p w14:paraId="421D4794">
      <w:pPr>
        <w:kinsoku/>
        <w:autoSpaceDE/>
        <w:autoSpaceDN/>
        <w:adjustRightInd/>
        <w:snapToGrid/>
        <w:spacing w:line="360" w:lineRule="auto"/>
        <w:ind w:right="11"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报价明细（必须加盖单位公章）。</w:t>
      </w:r>
    </w:p>
    <w:p w14:paraId="4057B19B">
      <w:pPr>
        <w:kinsoku/>
        <w:autoSpaceDE/>
        <w:autoSpaceDN/>
        <w:adjustRightInd/>
        <w:snapToGrid/>
        <w:spacing w:line="360" w:lineRule="auto"/>
        <w:ind w:right="12"/>
        <w:textAlignment w:val="auto"/>
        <w:rPr>
          <w:rFonts w:hint="eastAsia" w:ascii="仿宋" w:hAnsi="仿宋" w:eastAsia="仿宋" w:cs="仿宋"/>
          <w:b/>
          <w:bCs/>
          <w:snapToGrid/>
          <w:color w:val="auto"/>
          <w:sz w:val="28"/>
          <w:szCs w:val="28"/>
          <w:lang w:eastAsia="zh-CN"/>
        </w:rPr>
      </w:pPr>
      <w:r>
        <w:rPr>
          <w:rFonts w:hint="eastAsia" w:ascii="仿宋" w:hAnsi="仿宋" w:eastAsia="仿宋" w:cs="仿宋"/>
          <w:b/>
          <w:bCs/>
          <w:snapToGrid/>
          <w:color w:val="auto"/>
          <w:sz w:val="28"/>
          <w:szCs w:val="28"/>
          <w:lang w:eastAsia="zh-CN"/>
        </w:rPr>
        <w:t>五、联系方式</w:t>
      </w:r>
    </w:p>
    <w:p w14:paraId="45A4F90D">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采购人：中煤长江基础建设有限公司</w:t>
      </w:r>
      <w:r>
        <w:rPr>
          <w:rFonts w:hint="eastAsia" w:ascii="仿宋" w:hAnsi="仿宋" w:eastAsia="仿宋" w:cs="仿宋"/>
          <w:snapToGrid/>
          <w:color w:val="auto"/>
          <w:sz w:val="28"/>
          <w:szCs w:val="28"/>
          <w:lang w:val="en-US" w:eastAsia="zh-CN"/>
        </w:rPr>
        <w:t>无锡分公司</w:t>
      </w:r>
    </w:p>
    <w:p w14:paraId="788841E1">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地址：江苏省</w:t>
      </w:r>
      <w:r>
        <w:rPr>
          <w:rFonts w:hint="eastAsia" w:ascii="仿宋" w:hAnsi="仿宋" w:eastAsia="仿宋" w:cs="仿宋"/>
          <w:snapToGrid/>
          <w:color w:val="auto"/>
          <w:sz w:val="28"/>
          <w:szCs w:val="28"/>
          <w:lang w:val="en-US" w:eastAsia="zh-CN"/>
        </w:rPr>
        <w:t>无锡市滨湖区钱荣路10号</w:t>
      </w:r>
    </w:p>
    <w:p w14:paraId="16D674B6">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报价联系人：孟经理 18261577753</w:t>
      </w:r>
    </w:p>
    <w:p w14:paraId="2FDD4B95">
      <w:pPr>
        <w:kinsoku/>
        <w:autoSpaceDE/>
        <w:autoSpaceDN/>
        <w:adjustRightInd/>
        <w:snapToGrid/>
        <w:spacing w:line="360" w:lineRule="auto"/>
        <w:ind w:right="11"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技术要求及踏勘联系人：陈工 13815656152</w:t>
      </w:r>
    </w:p>
    <w:p w14:paraId="618640AF">
      <w:pPr>
        <w:kinsoku/>
        <w:autoSpaceDE/>
        <w:autoSpaceDN/>
        <w:adjustRightInd/>
        <w:snapToGrid/>
        <w:spacing w:line="360" w:lineRule="auto"/>
        <w:ind w:right="12"/>
        <w:jc w:val="right"/>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中煤长江基础建设有限公司</w:t>
      </w:r>
    </w:p>
    <w:p w14:paraId="3424B158">
      <w:pPr>
        <w:kinsoku/>
        <w:autoSpaceDE/>
        <w:autoSpaceDN/>
        <w:adjustRightInd/>
        <w:snapToGrid/>
        <w:spacing w:line="360" w:lineRule="auto"/>
        <w:ind w:left="0" w:leftChars="0" w:right="11" w:firstLine="6160" w:firstLineChars="2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eastAsia="zh-CN"/>
        </w:rPr>
        <w:t>202</w:t>
      </w:r>
      <w:r>
        <w:rPr>
          <w:rFonts w:hint="eastAsia" w:ascii="仿宋" w:hAnsi="仿宋" w:eastAsia="仿宋" w:cs="仿宋"/>
          <w:snapToGrid/>
          <w:color w:val="auto"/>
          <w:sz w:val="28"/>
          <w:szCs w:val="28"/>
          <w:lang w:val="en-US" w:eastAsia="zh-CN"/>
        </w:rPr>
        <w:t>6</w:t>
      </w:r>
      <w:r>
        <w:rPr>
          <w:rFonts w:hint="eastAsia" w:ascii="仿宋" w:hAnsi="仿宋" w:eastAsia="仿宋" w:cs="仿宋"/>
          <w:snapToGrid/>
          <w:color w:val="auto"/>
          <w:sz w:val="28"/>
          <w:szCs w:val="28"/>
          <w:lang w:eastAsia="zh-CN"/>
        </w:rPr>
        <w:t>年</w:t>
      </w:r>
      <w:r>
        <w:rPr>
          <w:rFonts w:hint="eastAsia" w:ascii="仿宋" w:hAnsi="仿宋" w:eastAsia="仿宋" w:cs="仿宋"/>
          <w:snapToGrid/>
          <w:color w:val="auto"/>
          <w:sz w:val="28"/>
          <w:szCs w:val="28"/>
          <w:lang w:val="en-US" w:eastAsia="zh-CN"/>
        </w:rPr>
        <w:t>10</w:t>
      </w:r>
      <w:r>
        <w:rPr>
          <w:rFonts w:hint="eastAsia" w:ascii="仿宋" w:hAnsi="仿宋" w:eastAsia="仿宋" w:cs="仿宋"/>
          <w:snapToGrid/>
          <w:color w:val="auto"/>
          <w:sz w:val="28"/>
          <w:szCs w:val="28"/>
          <w:lang w:eastAsia="zh-CN"/>
        </w:rPr>
        <w:t>月</w:t>
      </w:r>
      <w:r>
        <w:rPr>
          <w:rFonts w:hint="eastAsia" w:ascii="仿宋" w:hAnsi="仿宋" w:eastAsia="仿宋" w:cs="仿宋"/>
          <w:snapToGrid/>
          <w:color w:val="auto"/>
          <w:sz w:val="28"/>
          <w:szCs w:val="28"/>
          <w:lang w:val="en-US" w:eastAsia="zh-CN"/>
        </w:rPr>
        <w:t>9</w:t>
      </w:r>
      <w:r>
        <w:rPr>
          <w:rFonts w:hint="eastAsia" w:ascii="仿宋" w:hAnsi="仿宋" w:eastAsia="仿宋" w:cs="仿宋"/>
          <w:snapToGrid/>
          <w:color w:val="auto"/>
          <w:sz w:val="28"/>
          <w:szCs w:val="28"/>
          <w:lang w:val="en-US" w:eastAsia="zh-CN"/>
        </w:rPr>
        <w:t>日</w:t>
      </w:r>
    </w:p>
    <w:p w14:paraId="52121C2F">
      <w:pPr>
        <w:spacing w:before="335" w:line="222" w:lineRule="auto"/>
        <w:rPr>
          <w:rFonts w:ascii="宋体" w:hAnsi="宋体" w:eastAsia="宋体" w:cs="宋体"/>
          <w:b/>
          <w:bCs/>
          <w:color w:val="auto"/>
          <w:spacing w:val="1"/>
          <w:sz w:val="43"/>
          <w:szCs w:val="43"/>
        </w:rPr>
        <w:sectPr>
          <w:pgSz w:w="11906" w:h="16838"/>
          <w:pgMar w:top="1440" w:right="1486" w:bottom="1440" w:left="1380" w:header="851" w:footer="992" w:gutter="0"/>
          <w:cols w:space="425" w:num="1"/>
          <w:docGrid w:type="lines" w:linePitch="312" w:charSpace="0"/>
        </w:sectPr>
      </w:pPr>
    </w:p>
    <w:bookmarkEnd w:id="0"/>
    <w:p w14:paraId="6B46297D">
      <w:pPr>
        <w:spacing w:before="335" w:line="222" w:lineRule="auto"/>
        <w:jc w:val="center"/>
        <w:rPr>
          <w:rFonts w:hint="eastAsia" w:eastAsia="宋体"/>
          <w:lang w:eastAsia="zh-CN"/>
        </w:rPr>
      </w:pPr>
      <w:r>
        <w:rPr>
          <w:rFonts w:hint="eastAsia" w:ascii="宋体" w:hAnsi="宋体" w:eastAsia="宋体" w:cs="宋体"/>
          <w:b/>
          <w:bCs/>
          <w:spacing w:val="1"/>
          <w:sz w:val="43"/>
          <w:szCs w:val="43"/>
          <w:lang w:eastAsia="zh-CN"/>
        </w:rPr>
        <w:t>报价单</w:t>
      </w:r>
    </w:p>
    <w:p w14:paraId="1270B53B">
      <w:pPr>
        <w:pStyle w:val="3"/>
        <w:spacing w:before="103" w:line="222" w:lineRule="auto"/>
        <w:ind w:left="519"/>
        <w:rPr>
          <w:sz w:val="24"/>
          <w:szCs w:val="24"/>
        </w:rPr>
      </w:pPr>
      <w:r>
        <w:rPr>
          <w:b/>
          <w:bCs/>
          <w:spacing w:val="-5"/>
          <w:sz w:val="24"/>
          <w:szCs w:val="24"/>
        </w:rPr>
        <w:t>一、项目概况：</w:t>
      </w:r>
    </w:p>
    <w:p w14:paraId="58663B42">
      <w:pPr>
        <w:pStyle w:val="3"/>
        <w:spacing w:before="236" w:line="411" w:lineRule="auto"/>
        <w:ind w:left="45" w:right="323" w:firstLine="564"/>
        <w:rPr>
          <w:rFonts w:hint="eastAsia" w:eastAsia="仿宋"/>
          <w:spacing w:val="-3"/>
          <w:lang w:val="en-US" w:eastAsia="zh-CN"/>
        </w:rPr>
      </w:pPr>
      <w:r>
        <w:rPr>
          <w:spacing w:val="-3"/>
        </w:rPr>
        <w:t>1.工程名称：</w:t>
      </w:r>
      <w:r>
        <w:rPr>
          <w:rFonts w:hint="eastAsia" w:ascii="仿宋" w:hAnsi="仿宋" w:eastAsia="仿宋" w:cs="仿宋"/>
          <w:snapToGrid/>
          <w:color w:val="auto"/>
          <w:sz w:val="28"/>
          <w:szCs w:val="28"/>
          <w:lang w:val="en-US" w:eastAsia="zh-CN"/>
        </w:rPr>
        <w:t>福建古雷石化有限公司乙苯分馏项目桩基工程</w:t>
      </w:r>
    </w:p>
    <w:p w14:paraId="728BB59A">
      <w:pPr>
        <w:pStyle w:val="3"/>
        <w:spacing w:before="1" w:line="222" w:lineRule="auto"/>
        <w:ind w:left="592"/>
        <w:rPr>
          <w:rFonts w:hint="default" w:eastAsia="仿宋"/>
          <w:lang w:val="en-US" w:eastAsia="zh-CN"/>
        </w:rPr>
      </w:pPr>
      <w:r>
        <w:rPr>
          <w:spacing w:val="-1"/>
        </w:rPr>
        <w:t>2.工程地点：</w:t>
      </w:r>
      <w:r>
        <w:rPr>
          <w:rFonts w:hint="eastAsia" w:ascii="仿宋" w:hAnsi="仿宋" w:eastAsia="仿宋" w:cs="仿宋"/>
          <w:snapToGrid/>
          <w:color w:val="auto"/>
          <w:sz w:val="28"/>
          <w:szCs w:val="28"/>
          <w:lang w:val="en-US" w:eastAsia="zh-CN"/>
        </w:rPr>
        <w:t>福建省漳州市古雷港经济开发区</w:t>
      </w:r>
    </w:p>
    <w:p w14:paraId="72F1FCED">
      <w:pPr>
        <w:pStyle w:val="3"/>
        <w:spacing w:before="229" w:line="222" w:lineRule="auto"/>
        <w:ind w:left="523"/>
        <w:rPr>
          <w:sz w:val="24"/>
          <w:szCs w:val="24"/>
        </w:rPr>
      </w:pPr>
      <w:r>
        <w:rPr>
          <w:b/>
          <w:bCs/>
          <w:spacing w:val="-6"/>
          <w:sz w:val="24"/>
          <w:szCs w:val="24"/>
        </w:rPr>
        <w:t>二、报价信息：</w:t>
      </w:r>
    </w:p>
    <w:p w14:paraId="4CA2F07A">
      <w:pPr>
        <w:spacing w:line="66" w:lineRule="exact"/>
      </w:pPr>
    </w:p>
    <w:tbl>
      <w:tblPr>
        <w:tblStyle w:val="7"/>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2"/>
        <w:gridCol w:w="1324"/>
        <w:gridCol w:w="1064"/>
        <w:gridCol w:w="1027"/>
        <w:gridCol w:w="1411"/>
        <w:gridCol w:w="1759"/>
        <w:gridCol w:w="1352"/>
      </w:tblGrid>
      <w:tr w14:paraId="2024A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PrEx>
        <w:trPr>
          <w:trHeight w:val="986" w:hRule="atLeast"/>
        </w:trPr>
        <w:tc>
          <w:tcPr>
            <w:tcW w:w="709" w:type="pct"/>
            <w:tcBorders>
              <w:bottom w:val="single" w:color="000000" w:sz="8" w:space="0"/>
              <w:right w:val="single" w:color="000000" w:sz="8" w:space="0"/>
            </w:tcBorders>
            <w:shd w:val="clear" w:color="auto" w:fill="auto"/>
            <w:vAlign w:val="center"/>
          </w:tcPr>
          <w:p w14:paraId="2DC6B52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序号</w:t>
            </w:r>
          </w:p>
        </w:tc>
        <w:tc>
          <w:tcPr>
            <w:tcW w:w="715" w:type="pct"/>
            <w:tcBorders>
              <w:left w:val="nil"/>
              <w:bottom w:val="single" w:color="000000" w:sz="8" w:space="0"/>
              <w:right w:val="single" w:color="000000" w:sz="8" w:space="0"/>
            </w:tcBorders>
            <w:shd w:val="clear" w:color="auto" w:fill="auto"/>
            <w:vAlign w:val="center"/>
          </w:tcPr>
          <w:p w14:paraId="6976B3B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名称</w:t>
            </w:r>
          </w:p>
        </w:tc>
        <w:tc>
          <w:tcPr>
            <w:tcW w:w="575" w:type="pct"/>
            <w:tcBorders>
              <w:left w:val="nil"/>
              <w:bottom w:val="single" w:color="000000" w:sz="8" w:space="0"/>
              <w:right w:val="single" w:color="000000" w:sz="8" w:space="0"/>
            </w:tcBorders>
            <w:shd w:val="clear" w:color="auto" w:fill="auto"/>
            <w:vAlign w:val="center"/>
          </w:tcPr>
          <w:p w14:paraId="093B1CF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单位</w:t>
            </w:r>
          </w:p>
        </w:tc>
        <w:tc>
          <w:tcPr>
            <w:tcW w:w="555" w:type="pct"/>
            <w:tcBorders>
              <w:left w:val="nil"/>
              <w:bottom w:val="single" w:color="000000" w:sz="8" w:space="0"/>
              <w:right w:val="single" w:color="000000" w:sz="8" w:space="0"/>
            </w:tcBorders>
            <w:shd w:val="clear" w:color="auto" w:fill="auto"/>
            <w:vAlign w:val="center"/>
          </w:tcPr>
          <w:p w14:paraId="17B1F721">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2"/>
                <w:szCs w:val="22"/>
                <w:u w:val="none"/>
                <w:lang w:val="en-US" w:eastAsia="zh-CN" w:bidi="ar"/>
              </w:rPr>
            </w:pPr>
            <w:r>
              <w:rPr>
                <w:rFonts w:hint="eastAsia" w:ascii="仿宋" w:hAnsi="仿宋" w:eastAsia="仿宋" w:cs="仿宋"/>
                <w:b/>
                <w:bCs/>
                <w:i w:val="0"/>
                <w:iCs w:val="0"/>
                <w:snapToGrid w:val="0"/>
                <w:color w:val="000000"/>
                <w:kern w:val="0"/>
                <w:sz w:val="22"/>
                <w:szCs w:val="22"/>
                <w:u w:val="none"/>
                <w:lang w:val="en-US" w:eastAsia="zh-CN" w:bidi="ar"/>
              </w:rPr>
              <w:t>暂定</w:t>
            </w:r>
          </w:p>
          <w:p w14:paraId="43A3C8A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数量</w:t>
            </w:r>
          </w:p>
        </w:tc>
        <w:tc>
          <w:tcPr>
            <w:tcW w:w="763" w:type="pct"/>
            <w:tcBorders>
              <w:left w:val="nil"/>
              <w:bottom w:val="single" w:color="000000" w:sz="8" w:space="0"/>
              <w:right w:val="single" w:color="000000" w:sz="8" w:space="0"/>
            </w:tcBorders>
            <w:shd w:val="clear" w:color="auto" w:fill="auto"/>
            <w:vAlign w:val="center"/>
          </w:tcPr>
          <w:p w14:paraId="7C803B1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单价（元）</w:t>
            </w:r>
          </w:p>
        </w:tc>
        <w:tc>
          <w:tcPr>
            <w:tcW w:w="951" w:type="pct"/>
            <w:tcBorders>
              <w:left w:val="nil"/>
              <w:bottom w:val="single" w:color="000000" w:sz="8" w:space="0"/>
              <w:right w:val="single" w:color="000000" w:sz="8" w:space="0"/>
            </w:tcBorders>
            <w:shd w:val="clear" w:color="auto" w:fill="auto"/>
            <w:vAlign w:val="center"/>
          </w:tcPr>
          <w:p w14:paraId="797F04F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小计</w:t>
            </w:r>
          </w:p>
        </w:tc>
        <w:tc>
          <w:tcPr>
            <w:tcW w:w="728" w:type="pct"/>
            <w:tcBorders>
              <w:left w:val="nil"/>
              <w:bottom w:val="single" w:color="000000" w:sz="8" w:space="0"/>
            </w:tcBorders>
            <w:shd w:val="clear" w:color="auto" w:fill="auto"/>
            <w:vAlign w:val="center"/>
          </w:tcPr>
          <w:p w14:paraId="45A557B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22"/>
                <w:szCs w:val="22"/>
                <w:u w:val="none"/>
                <w:lang w:val="en-US" w:eastAsia="zh-CN" w:bidi="ar"/>
              </w:rPr>
              <w:t>备注</w:t>
            </w:r>
          </w:p>
        </w:tc>
      </w:tr>
      <w:tr w14:paraId="6B951C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709" w:type="pct"/>
            <w:tcBorders>
              <w:top w:val="nil"/>
              <w:bottom w:val="single" w:color="000000" w:sz="8" w:space="0"/>
              <w:right w:val="single" w:color="000000" w:sz="8" w:space="0"/>
            </w:tcBorders>
            <w:shd w:val="clear" w:color="auto" w:fill="auto"/>
            <w:vAlign w:val="center"/>
          </w:tcPr>
          <w:p w14:paraId="479A3F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1</w:t>
            </w:r>
          </w:p>
        </w:tc>
        <w:tc>
          <w:tcPr>
            <w:tcW w:w="715" w:type="pct"/>
            <w:tcBorders>
              <w:top w:val="nil"/>
              <w:left w:val="nil"/>
              <w:bottom w:val="single" w:color="000000" w:sz="8" w:space="0"/>
              <w:right w:val="single" w:color="000000" w:sz="8" w:space="0"/>
            </w:tcBorders>
            <w:shd w:val="clear" w:color="auto" w:fill="auto"/>
            <w:vAlign w:val="center"/>
          </w:tcPr>
          <w:p w14:paraId="6BBBF2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围栏</w:t>
            </w:r>
          </w:p>
        </w:tc>
        <w:tc>
          <w:tcPr>
            <w:tcW w:w="575" w:type="pct"/>
            <w:tcBorders>
              <w:top w:val="nil"/>
              <w:left w:val="nil"/>
              <w:bottom w:val="single" w:color="000000" w:sz="8" w:space="0"/>
              <w:right w:val="single" w:color="000000" w:sz="8" w:space="0"/>
            </w:tcBorders>
            <w:shd w:val="clear" w:color="auto" w:fill="auto"/>
            <w:vAlign w:val="center"/>
          </w:tcPr>
          <w:p w14:paraId="4C3F07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米</w:t>
            </w:r>
          </w:p>
        </w:tc>
        <w:tc>
          <w:tcPr>
            <w:tcW w:w="555" w:type="pct"/>
            <w:tcBorders>
              <w:top w:val="nil"/>
              <w:left w:val="nil"/>
              <w:bottom w:val="single" w:color="000000" w:sz="8" w:space="0"/>
              <w:right w:val="single" w:color="000000" w:sz="8" w:space="0"/>
            </w:tcBorders>
            <w:shd w:val="clear" w:color="auto" w:fill="auto"/>
            <w:vAlign w:val="center"/>
          </w:tcPr>
          <w:p w14:paraId="1E6B4B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150</w:t>
            </w:r>
          </w:p>
        </w:tc>
        <w:tc>
          <w:tcPr>
            <w:tcW w:w="763" w:type="pct"/>
            <w:tcBorders>
              <w:top w:val="nil"/>
              <w:left w:val="nil"/>
              <w:bottom w:val="single" w:color="000000" w:sz="8" w:space="0"/>
              <w:right w:val="single" w:color="000000" w:sz="8" w:space="0"/>
            </w:tcBorders>
            <w:shd w:val="clear" w:color="auto" w:fill="auto"/>
            <w:vAlign w:val="center"/>
          </w:tcPr>
          <w:p w14:paraId="274B23C0">
            <w:pPr>
              <w:jc w:val="center"/>
              <w:rPr>
                <w:rFonts w:hint="eastAsia" w:ascii="仿宋" w:hAnsi="仿宋" w:eastAsia="仿宋" w:cs="仿宋"/>
                <w:i w:val="0"/>
                <w:iCs w:val="0"/>
                <w:color w:val="000000"/>
                <w:sz w:val="20"/>
                <w:szCs w:val="20"/>
                <w:u w:val="none"/>
              </w:rPr>
            </w:pPr>
          </w:p>
        </w:tc>
        <w:tc>
          <w:tcPr>
            <w:tcW w:w="951" w:type="pct"/>
            <w:tcBorders>
              <w:top w:val="nil"/>
              <w:left w:val="nil"/>
              <w:bottom w:val="single" w:color="000000" w:sz="8" w:space="0"/>
              <w:right w:val="single" w:color="000000" w:sz="8" w:space="0"/>
            </w:tcBorders>
            <w:shd w:val="clear" w:color="auto" w:fill="auto"/>
            <w:vAlign w:val="center"/>
          </w:tcPr>
          <w:p w14:paraId="1EE8BAE7">
            <w:pPr>
              <w:jc w:val="left"/>
              <w:rPr>
                <w:rFonts w:hint="eastAsia" w:ascii="仿宋" w:hAnsi="仿宋" w:eastAsia="仿宋" w:cs="仿宋"/>
                <w:i w:val="0"/>
                <w:iCs w:val="0"/>
                <w:color w:val="000000"/>
                <w:sz w:val="20"/>
                <w:szCs w:val="20"/>
                <w:u w:val="none"/>
              </w:rPr>
            </w:pPr>
          </w:p>
        </w:tc>
        <w:tc>
          <w:tcPr>
            <w:tcW w:w="728" w:type="pct"/>
            <w:tcBorders>
              <w:top w:val="nil"/>
              <w:left w:val="nil"/>
              <w:bottom w:val="single" w:color="000000" w:sz="8" w:space="0"/>
            </w:tcBorders>
            <w:shd w:val="clear" w:color="auto" w:fill="auto"/>
            <w:vAlign w:val="center"/>
          </w:tcPr>
          <w:p w14:paraId="5F151C9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包含运费</w:t>
            </w:r>
          </w:p>
        </w:tc>
      </w:tr>
      <w:tr w14:paraId="5AFD8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709" w:type="pct"/>
            <w:tcBorders>
              <w:top w:val="nil"/>
              <w:bottom w:val="single" w:color="000000" w:sz="8" w:space="0"/>
              <w:right w:val="single" w:color="000000" w:sz="8" w:space="0"/>
            </w:tcBorders>
            <w:shd w:val="clear" w:color="auto" w:fill="auto"/>
            <w:vAlign w:val="center"/>
          </w:tcPr>
          <w:p w14:paraId="253A02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2</w:t>
            </w:r>
          </w:p>
        </w:tc>
        <w:tc>
          <w:tcPr>
            <w:tcW w:w="715" w:type="pct"/>
            <w:tcBorders>
              <w:top w:val="nil"/>
              <w:left w:val="nil"/>
              <w:bottom w:val="single" w:color="000000" w:sz="8" w:space="0"/>
              <w:right w:val="single" w:color="000000" w:sz="8" w:space="0"/>
            </w:tcBorders>
            <w:shd w:val="clear" w:color="auto" w:fill="auto"/>
            <w:vAlign w:val="center"/>
          </w:tcPr>
          <w:p w14:paraId="229147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大门</w:t>
            </w:r>
          </w:p>
        </w:tc>
        <w:tc>
          <w:tcPr>
            <w:tcW w:w="575" w:type="pct"/>
            <w:tcBorders>
              <w:top w:val="nil"/>
              <w:left w:val="nil"/>
              <w:bottom w:val="single" w:color="000000" w:sz="8" w:space="0"/>
              <w:right w:val="single" w:color="000000" w:sz="8" w:space="0"/>
            </w:tcBorders>
            <w:shd w:val="clear" w:color="auto" w:fill="auto"/>
            <w:vAlign w:val="center"/>
          </w:tcPr>
          <w:p w14:paraId="4255A8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套</w:t>
            </w:r>
          </w:p>
        </w:tc>
        <w:tc>
          <w:tcPr>
            <w:tcW w:w="555" w:type="pct"/>
            <w:tcBorders>
              <w:top w:val="nil"/>
              <w:left w:val="nil"/>
              <w:bottom w:val="single" w:color="000000" w:sz="8" w:space="0"/>
              <w:right w:val="single" w:color="000000" w:sz="8" w:space="0"/>
            </w:tcBorders>
            <w:shd w:val="clear" w:color="auto" w:fill="auto"/>
            <w:vAlign w:val="center"/>
          </w:tcPr>
          <w:p w14:paraId="41215F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1</w:t>
            </w:r>
          </w:p>
        </w:tc>
        <w:tc>
          <w:tcPr>
            <w:tcW w:w="763" w:type="pct"/>
            <w:tcBorders>
              <w:top w:val="nil"/>
              <w:left w:val="nil"/>
              <w:bottom w:val="single" w:color="000000" w:sz="8" w:space="0"/>
              <w:right w:val="single" w:color="000000" w:sz="8" w:space="0"/>
            </w:tcBorders>
            <w:shd w:val="clear" w:color="auto" w:fill="auto"/>
            <w:vAlign w:val="center"/>
          </w:tcPr>
          <w:p w14:paraId="1534FFE8">
            <w:pPr>
              <w:jc w:val="center"/>
              <w:rPr>
                <w:rFonts w:hint="eastAsia" w:ascii="仿宋" w:hAnsi="仿宋" w:eastAsia="仿宋" w:cs="仿宋"/>
                <w:i w:val="0"/>
                <w:iCs w:val="0"/>
                <w:color w:val="000000"/>
                <w:sz w:val="20"/>
                <w:szCs w:val="20"/>
                <w:u w:val="none"/>
              </w:rPr>
            </w:pPr>
          </w:p>
        </w:tc>
        <w:tc>
          <w:tcPr>
            <w:tcW w:w="951" w:type="pct"/>
            <w:tcBorders>
              <w:top w:val="nil"/>
              <w:left w:val="nil"/>
              <w:bottom w:val="single" w:color="000000" w:sz="8" w:space="0"/>
              <w:right w:val="single" w:color="000000" w:sz="8" w:space="0"/>
            </w:tcBorders>
            <w:shd w:val="clear" w:color="auto" w:fill="auto"/>
            <w:vAlign w:val="center"/>
          </w:tcPr>
          <w:p w14:paraId="0CE3CFAA">
            <w:pPr>
              <w:jc w:val="left"/>
              <w:rPr>
                <w:rFonts w:hint="eastAsia" w:ascii="仿宋" w:hAnsi="仿宋" w:eastAsia="仿宋" w:cs="仿宋"/>
                <w:i w:val="0"/>
                <w:iCs w:val="0"/>
                <w:color w:val="000000"/>
                <w:sz w:val="20"/>
                <w:szCs w:val="20"/>
                <w:u w:val="none"/>
              </w:rPr>
            </w:pPr>
          </w:p>
        </w:tc>
        <w:tc>
          <w:tcPr>
            <w:tcW w:w="728" w:type="pct"/>
            <w:tcBorders>
              <w:top w:val="nil"/>
              <w:left w:val="nil"/>
              <w:bottom w:val="single" w:color="000000" w:sz="8" w:space="0"/>
            </w:tcBorders>
            <w:shd w:val="clear" w:color="auto" w:fill="auto"/>
            <w:vAlign w:val="center"/>
          </w:tcPr>
          <w:p w14:paraId="14AF561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包含运费</w:t>
            </w:r>
          </w:p>
        </w:tc>
      </w:tr>
      <w:tr w14:paraId="61E804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73" w:hRule="atLeast"/>
        </w:trPr>
        <w:tc>
          <w:tcPr>
            <w:tcW w:w="1425" w:type="pct"/>
            <w:gridSpan w:val="2"/>
            <w:tcBorders>
              <w:top w:val="nil"/>
              <w:bottom w:val="single" w:color="000000" w:sz="8" w:space="0"/>
              <w:right w:val="single" w:color="000000" w:sz="8" w:space="0"/>
            </w:tcBorders>
            <w:shd w:val="clear" w:color="auto" w:fill="auto"/>
            <w:vAlign w:val="center"/>
          </w:tcPr>
          <w:p w14:paraId="082AA7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Style w:val="21"/>
                <w:rFonts w:hint="eastAsia" w:ascii="仿宋" w:hAnsi="仿宋" w:eastAsia="仿宋" w:cs="仿宋"/>
                <w:snapToGrid w:val="0"/>
                <w:color w:val="000000"/>
                <w:lang w:val="en-US" w:eastAsia="zh-CN" w:bidi="ar"/>
              </w:rPr>
              <w:t>合计：</w:t>
            </w:r>
          </w:p>
        </w:tc>
        <w:tc>
          <w:tcPr>
            <w:tcW w:w="3574" w:type="pct"/>
            <w:gridSpan w:val="5"/>
            <w:tcBorders>
              <w:top w:val="nil"/>
              <w:left w:val="nil"/>
              <w:bottom w:val="single" w:color="000000" w:sz="8" w:space="0"/>
            </w:tcBorders>
            <w:shd w:val="clear" w:color="auto" w:fill="auto"/>
            <w:vAlign w:val="center"/>
          </w:tcPr>
          <w:p w14:paraId="0E8DFB9B">
            <w:pPr>
              <w:keepNext w:val="0"/>
              <w:keepLines w:val="0"/>
              <w:widowControl/>
              <w:suppressLineNumbers w:val="0"/>
              <w:jc w:val="left"/>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snapToGrid w:val="0"/>
                <w:color w:val="000000"/>
                <w:kern w:val="0"/>
                <w:sz w:val="32"/>
                <w:szCs w:val="32"/>
                <w:u w:val="none"/>
                <w:lang w:val="en-US" w:eastAsia="zh-CN" w:bidi="ar"/>
              </w:rPr>
              <w:t>￥：</w:t>
            </w:r>
            <w:r>
              <w:rPr>
                <w:rStyle w:val="23"/>
                <w:rFonts w:hint="eastAsia" w:ascii="仿宋" w:hAnsi="仿宋" w:eastAsia="仿宋" w:cs="仿宋"/>
                <w:snapToGrid w:val="0"/>
                <w:color w:val="000000"/>
                <w:sz w:val="32"/>
                <w:szCs w:val="32"/>
                <w:lang w:val="en-US" w:eastAsia="zh-CN" w:bidi="ar"/>
              </w:rPr>
              <w:t xml:space="preserve">         元（大写：          ）</w:t>
            </w:r>
          </w:p>
        </w:tc>
      </w:tr>
      <w:tr w14:paraId="6E0AE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5000" w:type="pct"/>
            <w:gridSpan w:val="7"/>
            <w:tcBorders>
              <w:top w:val="nil"/>
            </w:tcBorders>
            <w:shd w:val="clear" w:color="auto" w:fill="auto"/>
            <w:vAlign w:val="center"/>
          </w:tcPr>
          <w:p w14:paraId="540D5E0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特征要求：围栏高度：1.8m； 围栏形式：采用80*80*4.0mm方钢管做立柱，立柱间距3m，上下设置60*60*3mm方钢管横梁，外侧安装0.6mm厚单层彩钢铁皮围挡，外墙四周墙角设置钢丝绳地锚抗拉。大门：设置双开型大门（带万向轮），大门高度1.8米（离地高度20cm），宽度8米，门柱采用φ100钢管立柱，预埋连接板厚度8mm，大门做法同围栏做法。</w:t>
            </w:r>
          </w:p>
        </w:tc>
      </w:tr>
    </w:tbl>
    <w:p w14:paraId="0125877B">
      <w:pPr>
        <w:pStyle w:val="3"/>
        <w:spacing w:before="25" w:line="227" w:lineRule="auto"/>
        <w:ind w:left="42"/>
        <w:rPr>
          <w:spacing w:val="-2"/>
          <w:sz w:val="24"/>
          <w:szCs w:val="24"/>
        </w:rPr>
      </w:pPr>
    </w:p>
    <w:p w14:paraId="6596C8D6">
      <w:pPr>
        <w:pStyle w:val="3"/>
        <w:keepNext w:val="0"/>
        <w:keepLines w:val="0"/>
        <w:pageBreakBefore w:val="0"/>
        <w:widowControl/>
        <w:kinsoku w:val="0"/>
        <w:wordWrap/>
        <w:overflowPunct/>
        <w:topLinePunct w:val="0"/>
        <w:autoSpaceDE w:val="0"/>
        <w:autoSpaceDN w:val="0"/>
        <w:bidi w:val="0"/>
        <w:adjustRightInd w:val="0"/>
        <w:snapToGrid w:val="0"/>
        <w:spacing w:before="25" w:line="360" w:lineRule="auto"/>
        <w:ind w:left="42"/>
        <w:textAlignment w:val="baseline"/>
        <w:rPr>
          <w:rFonts w:hint="eastAsia" w:eastAsia="仿宋"/>
          <w:sz w:val="24"/>
          <w:szCs w:val="24"/>
          <w:lang w:eastAsia="zh-CN"/>
        </w:rPr>
      </w:pPr>
      <w:r>
        <w:rPr>
          <w:spacing w:val="-2"/>
          <w:sz w:val="24"/>
          <w:szCs w:val="24"/>
        </w:rPr>
        <w:t>注：1.以上报价是否含税：是</w:t>
      </w:r>
      <w:r>
        <w:rPr>
          <w:position w:val="-4"/>
          <w:sz w:val="24"/>
          <w:szCs w:val="24"/>
        </w:rPr>
        <w:drawing>
          <wp:inline distT="0" distB="0" distL="114300" distR="114300">
            <wp:extent cx="135255" cy="168275"/>
            <wp:effectExtent l="0" t="0" r="17145" b="254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stretch>
                      <a:fillRect/>
                    </a:stretch>
                  </pic:blipFill>
                  <pic:spPr>
                    <a:xfrm>
                      <a:off x="0" y="0"/>
                      <a:ext cx="135255" cy="168275"/>
                    </a:xfrm>
                    <a:prstGeom prst="rect">
                      <a:avLst/>
                    </a:prstGeom>
                    <a:noFill/>
                    <a:ln>
                      <a:noFill/>
                    </a:ln>
                  </pic:spPr>
                </pic:pic>
              </a:graphicData>
            </a:graphic>
          </wp:inline>
        </w:drawing>
      </w:r>
      <w:r>
        <w:rPr>
          <w:spacing w:val="-2"/>
          <w:sz w:val="24"/>
          <w:szCs w:val="24"/>
        </w:rPr>
        <w:t>（税率：</w:t>
      </w:r>
      <w:r>
        <w:rPr>
          <w:spacing w:val="-2"/>
          <w:sz w:val="24"/>
          <w:szCs w:val="24"/>
          <w:u w:val="single" w:color="auto"/>
        </w:rPr>
        <w:t xml:space="preserve">  1</w:t>
      </w:r>
      <w:r>
        <w:rPr>
          <w:rFonts w:hint="eastAsia"/>
          <w:spacing w:val="-2"/>
          <w:sz w:val="24"/>
          <w:szCs w:val="24"/>
          <w:u w:val="single" w:color="auto"/>
          <w:lang w:val="en-US" w:eastAsia="zh-CN"/>
        </w:rPr>
        <w:t>3</w:t>
      </w:r>
      <w:r>
        <w:rPr>
          <w:spacing w:val="-2"/>
          <w:sz w:val="24"/>
          <w:szCs w:val="24"/>
          <w:u w:val="single" w:color="auto"/>
        </w:rPr>
        <w:t xml:space="preserve">  </w:t>
      </w:r>
      <w:r>
        <w:rPr>
          <w:spacing w:val="-2"/>
          <w:sz w:val="24"/>
          <w:szCs w:val="24"/>
        </w:rPr>
        <w:t xml:space="preserve"> </w:t>
      </w:r>
      <w:r>
        <w:rPr>
          <w:spacing w:val="-10"/>
          <w:sz w:val="24"/>
          <w:szCs w:val="24"/>
        </w:rPr>
        <w:t>％）</w:t>
      </w:r>
      <w:r>
        <w:rPr>
          <w:spacing w:val="52"/>
          <w:sz w:val="24"/>
          <w:szCs w:val="24"/>
        </w:rPr>
        <w:t xml:space="preserve"> </w:t>
      </w:r>
      <w:r>
        <w:rPr>
          <w:spacing w:val="-2"/>
          <w:sz w:val="24"/>
          <w:szCs w:val="24"/>
        </w:rPr>
        <w:t>否</w:t>
      </w:r>
      <w:r>
        <w:rPr>
          <w:rFonts w:hint="eastAsia"/>
          <w:spacing w:val="-2"/>
          <w:sz w:val="24"/>
          <w:szCs w:val="24"/>
          <w:lang w:eastAsia="zh-CN"/>
        </w:rPr>
        <w:t>□；</w:t>
      </w:r>
    </w:p>
    <w:p w14:paraId="664F3D7F">
      <w:pPr>
        <w:pStyle w:val="3"/>
        <w:keepNext w:val="0"/>
        <w:keepLines w:val="0"/>
        <w:pageBreakBefore w:val="0"/>
        <w:widowControl/>
        <w:kinsoku w:val="0"/>
        <w:wordWrap/>
        <w:overflowPunct/>
        <w:topLinePunct w:val="0"/>
        <w:autoSpaceDE w:val="0"/>
        <w:autoSpaceDN w:val="0"/>
        <w:bidi w:val="0"/>
        <w:adjustRightInd w:val="0"/>
        <w:snapToGrid w:val="0"/>
        <w:spacing w:before="182" w:line="360" w:lineRule="auto"/>
        <w:ind w:left="511"/>
        <w:textAlignment w:val="baseline"/>
        <w:rPr>
          <w:color w:val="auto"/>
          <w:sz w:val="24"/>
          <w:szCs w:val="24"/>
        </w:rPr>
      </w:pPr>
      <w:r>
        <w:rPr>
          <w:color w:val="auto"/>
          <w:spacing w:val="-1"/>
          <w:sz w:val="24"/>
          <w:szCs w:val="24"/>
        </w:rPr>
        <w:t>2.以上报价有效期为</w:t>
      </w:r>
      <w:r>
        <w:rPr>
          <w:color w:val="auto"/>
          <w:spacing w:val="-1"/>
          <w:sz w:val="24"/>
          <w:szCs w:val="24"/>
          <w:u w:val="single" w:color="auto"/>
        </w:rPr>
        <w:t xml:space="preserve"> 60 </w:t>
      </w:r>
      <w:r>
        <w:rPr>
          <w:color w:val="auto"/>
          <w:spacing w:val="-1"/>
          <w:sz w:val="24"/>
          <w:szCs w:val="24"/>
        </w:rPr>
        <w:t>天；</w:t>
      </w:r>
    </w:p>
    <w:p w14:paraId="272E74FC">
      <w:pPr>
        <w:pStyle w:val="3"/>
        <w:keepNext w:val="0"/>
        <w:keepLines w:val="0"/>
        <w:pageBreakBefore w:val="0"/>
        <w:widowControl/>
        <w:kinsoku w:val="0"/>
        <w:wordWrap/>
        <w:overflowPunct/>
        <w:topLinePunct w:val="0"/>
        <w:autoSpaceDE w:val="0"/>
        <w:autoSpaceDN w:val="0"/>
        <w:bidi w:val="0"/>
        <w:adjustRightInd w:val="0"/>
        <w:snapToGrid w:val="0"/>
        <w:spacing w:before="181" w:line="360" w:lineRule="auto"/>
        <w:ind w:left="513"/>
        <w:textAlignment w:val="baseline"/>
        <w:rPr>
          <w:sz w:val="24"/>
          <w:szCs w:val="24"/>
        </w:rPr>
      </w:pPr>
      <w:r>
        <w:rPr>
          <w:spacing w:val="-1"/>
          <w:sz w:val="24"/>
          <w:szCs w:val="24"/>
        </w:rPr>
        <w:t>3.上述清单为暂定工程量，最终</w:t>
      </w:r>
      <w:r>
        <w:rPr>
          <w:rFonts w:hint="eastAsia"/>
          <w:spacing w:val="-1"/>
          <w:sz w:val="24"/>
          <w:szCs w:val="24"/>
          <w:lang w:eastAsia="zh-CN"/>
        </w:rPr>
        <w:t>按实际</w:t>
      </w:r>
      <w:r>
        <w:rPr>
          <w:spacing w:val="-1"/>
          <w:sz w:val="24"/>
          <w:szCs w:val="24"/>
        </w:rPr>
        <w:t>完工量结算；</w:t>
      </w:r>
    </w:p>
    <w:p w14:paraId="40281762">
      <w:pPr>
        <w:pStyle w:val="3"/>
        <w:keepNext w:val="0"/>
        <w:keepLines w:val="0"/>
        <w:pageBreakBefore w:val="0"/>
        <w:widowControl/>
        <w:kinsoku w:val="0"/>
        <w:wordWrap/>
        <w:overflowPunct/>
        <w:topLinePunct w:val="0"/>
        <w:autoSpaceDE w:val="0"/>
        <w:autoSpaceDN w:val="0"/>
        <w:bidi w:val="0"/>
        <w:adjustRightInd w:val="0"/>
        <w:snapToGrid w:val="0"/>
        <w:spacing w:before="179" w:line="360" w:lineRule="auto"/>
        <w:ind w:left="42"/>
        <w:textAlignment w:val="baseline"/>
        <w:rPr>
          <w:rFonts w:hint="eastAsia" w:eastAsia="宋体"/>
          <w:lang w:eastAsia="zh-CN"/>
        </w:rPr>
      </w:pPr>
      <w:r>
        <w:rPr>
          <w:b/>
          <w:bCs/>
          <w:spacing w:val="-6"/>
          <w:sz w:val="24"/>
          <w:szCs w:val="24"/>
        </w:rPr>
        <w:t>三、付款方式</w:t>
      </w:r>
      <w:r>
        <w:rPr>
          <w:rFonts w:hint="eastAsia"/>
          <w:b/>
          <w:bCs/>
          <w:spacing w:val="-6"/>
          <w:sz w:val="24"/>
          <w:szCs w:val="24"/>
          <w:lang w:eastAsia="zh-CN"/>
        </w:rPr>
        <w:t>：</w:t>
      </w:r>
      <w:r>
        <w:rPr>
          <w:rFonts w:hint="eastAsia" w:ascii="仿宋" w:hAnsi="仿宋" w:eastAsia="仿宋" w:cs="仿宋"/>
          <w:snapToGrid w:val="0"/>
          <w:color w:val="000000"/>
          <w:spacing w:val="-1"/>
          <w:kern w:val="0"/>
          <w:sz w:val="24"/>
          <w:szCs w:val="24"/>
          <w:lang w:val="en-US" w:eastAsia="zh-CN" w:bidi="ar-SA"/>
        </w:rPr>
        <w:t>预付5000元定金，制作完成并验收通过后一次性付清余款。</w:t>
      </w:r>
    </w:p>
    <w:p w14:paraId="70FC035A">
      <w:pPr>
        <w:pStyle w:val="3"/>
        <w:keepNext w:val="0"/>
        <w:keepLines w:val="0"/>
        <w:pageBreakBefore w:val="0"/>
        <w:widowControl/>
        <w:kinsoku w:val="0"/>
        <w:wordWrap/>
        <w:overflowPunct/>
        <w:topLinePunct w:val="0"/>
        <w:autoSpaceDE w:val="0"/>
        <w:autoSpaceDN w:val="0"/>
        <w:bidi w:val="0"/>
        <w:adjustRightInd w:val="0"/>
        <w:snapToGrid w:val="0"/>
        <w:spacing w:before="92" w:line="360" w:lineRule="auto"/>
        <w:ind w:left="3957"/>
        <w:textAlignment w:val="baseline"/>
        <w:rPr>
          <w:spacing w:val="-3"/>
        </w:rPr>
      </w:pPr>
    </w:p>
    <w:p w14:paraId="44942EEE">
      <w:pPr>
        <w:pStyle w:val="3"/>
        <w:keepNext w:val="0"/>
        <w:keepLines w:val="0"/>
        <w:pageBreakBefore w:val="0"/>
        <w:widowControl/>
        <w:kinsoku w:val="0"/>
        <w:wordWrap/>
        <w:overflowPunct/>
        <w:topLinePunct w:val="0"/>
        <w:autoSpaceDE w:val="0"/>
        <w:autoSpaceDN w:val="0"/>
        <w:bidi w:val="0"/>
        <w:adjustRightInd w:val="0"/>
        <w:snapToGrid w:val="0"/>
        <w:spacing w:before="92" w:line="360" w:lineRule="auto"/>
        <w:ind w:left="3957"/>
        <w:textAlignment w:val="baseline"/>
      </w:pPr>
      <w:r>
        <w:rPr>
          <w:spacing w:val="-3"/>
        </w:rPr>
        <w:t>报价人（单位盖章</w:t>
      </w:r>
      <w:r>
        <w:rPr>
          <w:spacing w:val="-8"/>
        </w:rPr>
        <w:t>）：</w:t>
      </w:r>
    </w:p>
    <w:p w14:paraId="7A656438">
      <w:pPr>
        <w:pStyle w:val="3"/>
        <w:keepNext w:val="0"/>
        <w:keepLines w:val="0"/>
        <w:pageBreakBefore w:val="0"/>
        <w:widowControl/>
        <w:kinsoku w:val="0"/>
        <w:wordWrap/>
        <w:overflowPunct/>
        <w:topLinePunct w:val="0"/>
        <w:autoSpaceDE w:val="0"/>
        <w:autoSpaceDN w:val="0"/>
        <w:bidi w:val="0"/>
        <w:adjustRightInd w:val="0"/>
        <w:snapToGrid w:val="0"/>
        <w:spacing w:before="209" w:line="360" w:lineRule="auto"/>
        <w:ind w:left="3963"/>
        <w:textAlignment w:val="baseline"/>
      </w:pPr>
      <w:r>
        <w:rPr>
          <w:spacing w:val="-11"/>
        </w:rPr>
        <w:t>代表：</w:t>
      </w:r>
      <w:r>
        <w:rPr>
          <w:spacing w:val="2"/>
        </w:rPr>
        <w:t xml:space="preserve">         </w:t>
      </w:r>
      <w:r>
        <w:rPr>
          <w:spacing w:val="-11"/>
        </w:rPr>
        <w:t>联系电话：</w:t>
      </w:r>
    </w:p>
    <w:p w14:paraId="1A0C3AEF">
      <w:pPr>
        <w:pStyle w:val="3"/>
        <w:keepNext w:val="0"/>
        <w:keepLines w:val="0"/>
        <w:pageBreakBefore w:val="0"/>
        <w:widowControl/>
        <w:kinsoku w:val="0"/>
        <w:wordWrap/>
        <w:overflowPunct/>
        <w:topLinePunct w:val="0"/>
        <w:autoSpaceDE w:val="0"/>
        <w:autoSpaceDN w:val="0"/>
        <w:bidi w:val="0"/>
        <w:adjustRightInd w:val="0"/>
        <w:snapToGrid w:val="0"/>
        <w:spacing w:before="210" w:line="360" w:lineRule="auto"/>
        <w:ind w:left="3957"/>
        <w:textAlignment w:val="baseline"/>
        <w:rPr>
          <w:rFonts w:hint="eastAsia"/>
          <w:lang w:val="en-US" w:eastAsia="zh-CN"/>
        </w:rPr>
      </w:pPr>
      <w:r>
        <w:rPr>
          <w:spacing w:val="-6"/>
        </w:rPr>
        <w:t>报价日期：</w:t>
      </w:r>
      <w:r>
        <w:rPr>
          <w:rFonts w:hint="eastAsia"/>
          <w:spacing w:val="-6"/>
          <w:lang w:val="en-US" w:eastAsia="zh-CN"/>
        </w:rPr>
        <w:t xml:space="preserve">  </w:t>
      </w:r>
      <w:r>
        <w:rPr>
          <w:spacing w:val="-6"/>
        </w:rPr>
        <w:t xml:space="preserve">  年</w:t>
      </w:r>
      <w:r>
        <w:rPr>
          <w:spacing w:val="10"/>
        </w:rPr>
        <w:t xml:space="preserve">   </w:t>
      </w:r>
      <w:r>
        <w:rPr>
          <w:spacing w:val="-6"/>
        </w:rPr>
        <w:t>月</w:t>
      </w:r>
      <w:r>
        <w:rPr>
          <w:spacing w:val="14"/>
        </w:rPr>
        <w:t xml:space="preserve">  </w:t>
      </w:r>
      <w:r>
        <w:rPr>
          <w:rFonts w:hint="eastAsia"/>
          <w:spacing w:val="-6"/>
          <w:lang w:val="en-US" w:eastAsia="zh-CN"/>
        </w:rPr>
        <w:t xml:space="preserve"> </w:t>
      </w:r>
      <w:r>
        <w:rPr>
          <w:spacing w:val="38"/>
        </w:rPr>
        <w:t xml:space="preserve">  </w:t>
      </w:r>
      <w:r>
        <w:rPr>
          <w:spacing w:val="-6"/>
        </w:rPr>
        <w:t>日</w:t>
      </w:r>
    </w:p>
    <w:sectPr>
      <w:headerReference r:id="rId3" w:type="default"/>
      <w:footerReference r:id="rId4" w:type="default"/>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CE0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9739">
    <w:pPr>
      <w:pStyle w:val="5"/>
      <w:pBdr>
        <w:bottom w:val="none" w:color="auto" w:sz="0" w:space="1"/>
      </w:pBdr>
      <w:rPr>
        <w:sz w:val="15"/>
        <w:szCs w:val="18"/>
        <w:lang w:val="en-US"/>
      </w:rPr>
    </w:pPr>
    <w:r>
      <w:rPr>
        <w:rFonts w:hint="eastAsia" w:ascii="仿宋" w:hAnsi="仿宋" w:eastAsia="仿宋" w:cs="仿宋"/>
        <w:snapToGrid/>
        <w:color w:val="auto"/>
        <w:sz w:val="22"/>
        <w:szCs w:val="22"/>
        <w:lang w:val="en-US" w:eastAsia="zh-CN"/>
      </w:rPr>
      <w:t>ZMCJ-LXCG-2026-WX-017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2YjNkM2UyN2ZiZGM0ZmY4OTc0YWIwZjVjMjgxZTAifQ=="/>
  </w:docVars>
  <w:rsids>
    <w:rsidRoot w:val="2B8502A7"/>
    <w:rsid w:val="00E84814"/>
    <w:rsid w:val="01176118"/>
    <w:rsid w:val="02C170CB"/>
    <w:rsid w:val="03280EF8"/>
    <w:rsid w:val="04BD1B14"/>
    <w:rsid w:val="08471E20"/>
    <w:rsid w:val="0AA03742"/>
    <w:rsid w:val="0AEF5F1C"/>
    <w:rsid w:val="0DB01A5D"/>
    <w:rsid w:val="10792031"/>
    <w:rsid w:val="119168CB"/>
    <w:rsid w:val="126469E8"/>
    <w:rsid w:val="160E21CF"/>
    <w:rsid w:val="1663428A"/>
    <w:rsid w:val="16A91EF8"/>
    <w:rsid w:val="1A670100"/>
    <w:rsid w:val="1BD17F27"/>
    <w:rsid w:val="1C246C7A"/>
    <w:rsid w:val="1C7E1D4C"/>
    <w:rsid w:val="1DE11930"/>
    <w:rsid w:val="206432D6"/>
    <w:rsid w:val="21965F9B"/>
    <w:rsid w:val="239A7798"/>
    <w:rsid w:val="23ED78C8"/>
    <w:rsid w:val="24F21CE8"/>
    <w:rsid w:val="2ACA35C7"/>
    <w:rsid w:val="2B8502A7"/>
    <w:rsid w:val="2C095027"/>
    <w:rsid w:val="2D6C0215"/>
    <w:rsid w:val="2E6C4732"/>
    <w:rsid w:val="2E6D5B73"/>
    <w:rsid w:val="2F7E3CA0"/>
    <w:rsid w:val="30E27BEE"/>
    <w:rsid w:val="33602E2A"/>
    <w:rsid w:val="358F4C83"/>
    <w:rsid w:val="377759CE"/>
    <w:rsid w:val="37B26587"/>
    <w:rsid w:val="381873A7"/>
    <w:rsid w:val="39423D5D"/>
    <w:rsid w:val="3B286FE0"/>
    <w:rsid w:val="3BB2356D"/>
    <w:rsid w:val="3C2506B9"/>
    <w:rsid w:val="3D8C1AA8"/>
    <w:rsid w:val="3E73338C"/>
    <w:rsid w:val="3EF618CF"/>
    <w:rsid w:val="3FDD7758"/>
    <w:rsid w:val="42B50492"/>
    <w:rsid w:val="433B17F9"/>
    <w:rsid w:val="436D7BB8"/>
    <w:rsid w:val="48D566AF"/>
    <w:rsid w:val="491379AB"/>
    <w:rsid w:val="4A5C0E5B"/>
    <w:rsid w:val="4AB8212E"/>
    <w:rsid w:val="4B170FF4"/>
    <w:rsid w:val="4B3E7602"/>
    <w:rsid w:val="4B8875ED"/>
    <w:rsid w:val="4BB940C0"/>
    <w:rsid w:val="4BF25B64"/>
    <w:rsid w:val="51C25813"/>
    <w:rsid w:val="55061CE8"/>
    <w:rsid w:val="554A3CEF"/>
    <w:rsid w:val="557D16B0"/>
    <w:rsid w:val="55A07B1D"/>
    <w:rsid w:val="569A6E2E"/>
    <w:rsid w:val="571F31F2"/>
    <w:rsid w:val="58E32A6C"/>
    <w:rsid w:val="5A881081"/>
    <w:rsid w:val="5C0C4088"/>
    <w:rsid w:val="5E0D40E7"/>
    <w:rsid w:val="5E2178A2"/>
    <w:rsid w:val="636C72D0"/>
    <w:rsid w:val="67444949"/>
    <w:rsid w:val="67877407"/>
    <w:rsid w:val="67CC589A"/>
    <w:rsid w:val="6B074FF8"/>
    <w:rsid w:val="6C0865B3"/>
    <w:rsid w:val="6C501D6F"/>
    <w:rsid w:val="6D697FDB"/>
    <w:rsid w:val="6D6D3A4B"/>
    <w:rsid w:val="6DF64817"/>
    <w:rsid w:val="750D785B"/>
    <w:rsid w:val="76521CDF"/>
    <w:rsid w:val="77FF688A"/>
    <w:rsid w:val="7AEF6BF7"/>
    <w:rsid w:val="7CF93D5D"/>
    <w:rsid w:val="7D19020A"/>
    <w:rsid w:val="7D54427B"/>
    <w:rsid w:val="7DB163E5"/>
    <w:rsid w:val="7E3E038C"/>
    <w:rsid w:val="7EE52A46"/>
    <w:rsid w:val="7F3948E4"/>
    <w:rsid w:val="7FB74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8"/>
      <w:szCs w:val="2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10"/>
    <w:pPr>
      <w:outlineLvl w:val="2"/>
    </w:pPr>
    <w:rPr>
      <w:rFonts w:eastAsia="仿宋_GB2312" w:cs="黑体"/>
      <w:b/>
      <w:bCs/>
      <w:sz w:val="24"/>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4"/>
    <w:basedOn w:val="11"/>
    <w:next w:val="1"/>
    <w:qFormat/>
    <w:uiPriority w:val="99"/>
    <w:pPr>
      <w:ind w:firstLine="560"/>
      <w:outlineLvl w:val="3"/>
    </w:pPr>
  </w:style>
  <w:style w:type="paragraph" w:customStyle="1" w:styleId="11">
    <w:name w:val="标3"/>
    <w:basedOn w:val="12"/>
    <w:next w:val="1"/>
    <w:qFormat/>
    <w:uiPriority w:val="99"/>
    <w:pPr>
      <w:outlineLvl w:val="2"/>
    </w:pPr>
    <w:rPr>
      <w:rFonts w:ascii="宋体" w:hAnsi="宋体"/>
    </w:rPr>
  </w:style>
  <w:style w:type="paragraph" w:customStyle="1" w:styleId="12">
    <w:name w:val="标2"/>
    <w:basedOn w:val="13"/>
    <w:qFormat/>
    <w:uiPriority w:val="99"/>
    <w:pPr>
      <w:keepNext/>
      <w:keepLines/>
      <w:spacing w:beforeLines="0"/>
      <w:outlineLvl w:val="1"/>
    </w:pPr>
    <w:rPr>
      <w:rFonts w:ascii="黑体" w:hAnsi="黑体" w:cs="宋体"/>
      <w:b w:val="0"/>
      <w:sz w:val="28"/>
      <w:szCs w:val="20"/>
    </w:rPr>
  </w:style>
  <w:style w:type="paragraph" w:customStyle="1" w:styleId="13">
    <w:name w:val="标1"/>
    <w:basedOn w:val="6"/>
    <w:qFormat/>
    <w:uiPriority w:val="99"/>
    <w:pPr>
      <w:spacing w:beforeLines="50" w:afterLines="50"/>
    </w:pPr>
    <w:rPr>
      <w:kern w:val="24"/>
      <w:sz w:val="30"/>
      <w:szCs w:val="24"/>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5">
    <w:name w:val="Table Text"/>
    <w:basedOn w:val="1"/>
    <w:semiHidden/>
    <w:qFormat/>
    <w:uiPriority w:val="0"/>
    <w:rPr>
      <w:rFonts w:ascii="宋体" w:hAnsi="宋体" w:eastAsia="宋体" w:cs="宋体"/>
      <w:sz w:val="19"/>
      <w:szCs w:val="19"/>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 w:type="character" w:customStyle="1" w:styleId="17">
    <w:name w:val="font51"/>
    <w:basedOn w:val="9"/>
    <w:qFormat/>
    <w:uiPriority w:val="0"/>
    <w:rPr>
      <w:rFonts w:hint="eastAsia" w:ascii="宋体" w:hAnsi="宋体" w:eastAsia="宋体" w:cs="宋体"/>
      <w:color w:val="000000"/>
      <w:sz w:val="22"/>
      <w:szCs w:val="22"/>
      <w:u w:val="none"/>
    </w:rPr>
  </w:style>
  <w:style w:type="character" w:customStyle="1" w:styleId="18">
    <w:name w:val="font71"/>
    <w:basedOn w:val="9"/>
    <w:qFormat/>
    <w:uiPriority w:val="0"/>
    <w:rPr>
      <w:rFonts w:hint="eastAsia" w:ascii="宋体" w:hAnsi="宋体" w:eastAsia="宋体" w:cs="宋体"/>
      <w:color w:val="000000"/>
      <w:sz w:val="22"/>
      <w:szCs w:val="22"/>
      <w:u w:val="single"/>
    </w:rPr>
  </w:style>
  <w:style w:type="character" w:customStyle="1" w:styleId="19">
    <w:name w:val="font61"/>
    <w:basedOn w:val="9"/>
    <w:qFormat/>
    <w:uiPriority w:val="0"/>
    <w:rPr>
      <w:rFonts w:hint="eastAsia" w:ascii="宋体" w:hAnsi="宋体" w:eastAsia="宋体" w:cs="宋体"/>
      <w:b/>
      <w:bCs/>
      <w:color w:val="000000"/>
      <w:sz w:val="22"/>
      <w:szCs w:val="22"/>
      <w:u w:val="none"/>
    </w:rPr>
  </w:style>
  <w:style w:type="character" w:customStyle="1" w:styleId="20">
    <w:name w:val="font11"/>
    <w:basedOn w:val="9"/>
    <w:qFormat/>
    <w:uiPriority w:val="0"/>
    <w:rPr>
      <w:rFonts w:hint="eastAsia" w:ascii="宋体" w:hAnsi="宋体" w:eastAsia="宋体" w:cs="宋体"/>
      <w:color w:val="000000"/>
      <w:sz w:val="20"/>
      <w:szCs w:val="20"/>
      <w:u w:val="none"/>
    </w:rPr>
  </w:style>
  <w:style w:type="character" w:customStyle="1" w:styleId="21">
    <w:name w:val="font21"/>
    <w:basedOn w:val="9"/>
    <w:qFormat/>
    <w:uiPriority w:val="0"/>
    <w:rPr>
      <w:rFonts w:hint="eastAsia" w:ascii="宋体" w:hAnsi="宋体" w:eastAsia="宋体" w:cs="宋体"/>
      <w:color w:val="000000"/>
      <w:sz w:val="20"/>
      <w:szCs w:val="20"/>
      <w:u w:val="none"/>
    </w:rPr>
  </w:style>
  <w:style w:type="character" w:customStyle="1" w:styleId="22">
    <w:name w:val="font31"/>
    <w:basedOn w:val="9"/>
    <w:qFormat/>
    <w:uiPriority w:val="0"/>
    <w:rPr>
      <w:rFonts w:hint="eastAsia" w:ascii="宋体" w:hAnsi="宋体" w:eastAsia="宋体" w:cs="宋体"/>
      <w:b/>
      <w:bCs/>
      <w:color w:val="000000"/>
      <w:sz w:val="22"/>
      <w:szCs w:val="22"/>
      <w:u w:val="none"/>
    </w:rPr>
  </w:style>
  <w:style w:type="character" w:customStyle="1" w:styleId="23">
    <w:name w:val="font41"/>
    <w:basedOn w:val="9"/>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692</Words>
  <Characters>789</Characters>
  <Lines>0</Lines>
  <Paragraphs>0</Paragraphs>
  <TotalTime>2</TotalTime>
  <ScaleCrop>false</ScaleCrop>
  <LinksUpToDate>false</LinksUpToDate>
  <CharactersWithSpaces>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2024-10-10T01:24:00Z</dcterms:created>
  <dc:creator>维</dc:creator>
  <cp:lastModifiedBy>花园坊</cp:lastModifiedBy>
  <dcterms:modified xsi:type="dcterms:W3CDTF">2026-10-09T09:03:28Z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2B962356C6E34611B0E5FEA2A00CC7E5_13</vt:lpwstr>
  </property>
  <property fmtid="{D5CDD505-2E9C-101B-9397-08002B2CF9AE}" pid="4" name="KSOTemplateDocerSaveRecord">
    <vt:lpwstr>eyJoZGlkIjoiOGJjNzJmZDUwMDk5MDM0NTVkN2FiZmE1NjVkYWU1NDEiLCJ1c2VySWQiOiIyNTY5ODA3MjkifQ==</vt:lpwstr>
  </property>
</Properties>
</file>